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44"/>
          <w:szCs w:val="44"/>
        </w:rPr>
      </w:pPr>
      <w:r>
        <w:rPr>
          <w:rFonts w:hint="eastAsia" w:ascii="宋体" w:hAnsi="宋体" w:cs="宋体"/>
          <w:b/>
          <w:bCs/>
          <w:sz w:val="44"/>
          <w:szCs w:val="44"/>
        </w:rPr>
        <w:t>阳江市人民检察院工作网移动存储交换服务平台建设项目</w:t>
      </w:r>
    </w:p>
    <w:p>
      <w:pPr>
        <w:spacing w:line="360" w:lineRule="auto"/>
        <w:jc w:val="center"/>
        <w:rPr>
          <w:rFonts w:ascii="宋体" w:hAnsi="宋体" w:cs="宋体"/>
          <w:bCs/>
          <w:sz w:val="36"/>
        </w:rPr>
      </w:pPr>
    </w:p>
    <w:p>
      <w:pPr>
        <w:spacing w:line="360" w:lineRule="auto"/>
        <w:jc w:val="center"/>
        <w:rPr>
          <w:rFonts w:ascii="宋体" w:hAnsi="宋体" w:cs="宋体"/>
          <w:bCs/>
          <w:sz w:val="36"/>
        </w:rPr>
      </w:pPr>
    </w:p>
    <w:p>
      <w:pPr>
        <w:spacing w:line="360" w:lineRule="auto"/>
        <w:jc w:val="center"/>
        <w:rPr>
          <w:rFonts w:ascii="宋体" w:hAnsi="宋体" w:cs="宋体"/>
          <w:bCs/>
          <w:sz w:val="36"/>
        </w:rPr>
      </w:pPr>
    </w:p>
    <w:p>
      <w:pPr>
        <w:spacing w:line="360" w:lineRule="auto"/>
        <w:jc w:val="center"/>
        <w:rPr>
          <w:rFonts w:ascii="宋体" w:hAnsi="宋体" w:cs="宋体"/>
          <w:bCs/>
          <w:sz w:val="36"/>
        </w:rPr>
      </w:pPr>
    </w:p>
    <w:p>
      <w:pPr>
        <w:autoSpaceDE w:val="0"/>
        <w:autoSpaceDN w:val="0"/>
        <w:adjustRightInd w:val="0"/>
        <w:spacing w:line="360" w:lineRule="auto"/>
        <w:jc w:val="center"/>
        <w:rPr>
          <w:rFonts w:ascii="宋体" w:hAnsi="宋体" w:cs="宋体"/>
          <w:b/>
          <w:kern w:val="0"/>
          <w:sz w:val="84"/>
          <w:szCs w:val="84"/>
        </w:rPr>
      </w:pPr>
      <w:r>
        <w:rPr>
          <w:rFonts w:hint="eastAsia" w:ascii="宋体" w:hAnsi="宋体" w:cs="宋体"/>
          <w:b/>
          <w:kern w:val="0"/>
          <w:sz w:val="84"/>
          <w:szCs w:val="84"/>
        </w:rPr>
        <w:t>招标文件</w:t>
      </w:r>
    </w:p>
    <w:p>
      <w:pPr>
        <w:spacing w:line="360" w:lineRule="auto"/>
        <w:jc w:val="center"/>
        <w:rPr>
          <w:rFonts w:ascii="宋体" w:hAnsi="宋体" w:cs="宋体"/>
          <w:bCs/>
          <w:sz w:val="36"/>
        </w:rPr>
      </w:pPr>
    </w:p>
    <w:p>
      <w:pPr>
        <w:spacing w:line="360" w:lineRule="auto"/>
        <w:jc w:val="center"/>
        <w:rPr>
          <w:rFonts w:ascii="宋体" w:hAnsi="宋体" w:cs="宋体"/>
          <w:sz w:val="28"/>
          <w:szCs w:val="28"/>
        </w:rPr>
      </w:pPr>
      <w:r>
        <w:rPr>
          <w:rFonts w:hint="eastAsia" w:ascii="宋体" w:hAnsi="宋体" w:cs="宋体"/>
          <w:sz w:val="28"/>
          <w:szCs w:val="28"/>
        </w:rPr>
        <w:t xml:space="preserve">       </w:t>
      </w:r>
    </w:p>
    <w:p>
      <w:pPr>
        <w:spacing w:line="360" w:lineRule="auto"/>
        <w:jc w:val="center"/>
        <w:rPr>
          <w:rFonts w:ascii="宋体" w:hAnsi="宋体" w:cs="宋体"/>
          <w:sz w:val="52"/>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pStyle w:val="5"/>
        <w:widowControl/>
        <w:adjustRightInd w:val="0"/>
        <w:snapToGrid w:val="0"/>
        <w:spacing w:line="360" w:lineRule="auto"/>
        <w:jc w:val="center"/>
        <w:rPr>
          <w:rFonts w:hAnsi="宋体" w:cs="宋体"/>
          <w:bCs/>
          <w:sz w:val="32"/>
          <w:szCs w:val="32"/>
        </w:rPr>
      </w:pPr>
      <w:r>
        <w:rPr>
          <w:rFonts w:hint="eastAsia" w:hAnsi="宋体" w:cs="宋体"/>
          <w:bCs/>
          <w:sz w:val="32"/>
          <w:szCs w:val="32"/>
        </w:rPr>
        <w:t>阳江市人民检察院</w:t>
      </w:r>
    </w:p>
    <w:p>
      <w:pPr>
        <w:pStyle w:val="5"/>
        <w:widowControl/>
        <w:adjustRightInd w:val="0"/>
        <w:snapToGrid w:val="0"/>
        <w:spacing w:line="360" w:lineRule="auto"/>
        <w:jc w:val="center"/>
        <w:rPr>
          <w:rFonts w:hAnsi="宋体" w:cs="宋体"/>
          <w:bCs/>
          <w:sz w:val="32"/>
          <w:szCs w:val="32"/>
        </w:rPr>
      </w:pPr>
      <w:r>
        <w:rPr>
          <w:rFonts w:hint="eastAsia" w:hAnsi="宋体" w:cs="宋体"/>
          <w:bCs/>
          <w:sz w:val="32"/>
          <w:szCs w:val="32"/>
        </w:rPr>
        <w:t>二〇二〇 年十一月</w:t>
      </w:r>
    </w:p>
    <w:p>
      <w:pPr>
        <w:pStyle w:val="5"/>
        <w:widowControl/>
        <w:adjustRightInd w:val="0"/>
        <w:snapToGrid w:val="0"/>
        <w:spacing w:line="360" w:lineRule="auto"/>
        <w:jc w:val="center"/>
        <w:rPr>
          <w:rFonts w:hAnsi="宋体" w:cs="宋体"/>
          <w:bCs/>
          <w:sz w:val="32"/>
          <w:szCs w:val="32"/>
        </w:rPr>
      </w:pPr>
    </w:p>
    <w:p>
      <w:pPr>
        <w:pStyle w:val="5"/>
        <w:widowControl/>
        <w:adjustRightInd w:val="0"/>
        <w:snapToGrid w:val="0"/>
        <w:spacing w:line="360" w:lineRule="auto"/>
        <w:jc w:val="center"/>
        <w:rPr>
          <w:rFonts w:hAnsi="宋体" w:cs="宋体"/>
          <w:bCs/>
          <w:sz w:val="32"/>
          <w:szCs w:val="32"/>
        </w:rPr>
      </w:pPr>
    </w:p>
    <w:p>
      <w:pPr>
        <w:pStyle w:val="2"/>
        <w:spacing w:before="100" w:beforeAutospacing="1" w:after="100" w:afterAutospacing="1" w:line="360" w:lineRule="auto"/>
        <w:jc w:val="center"/>
        <w:rPr>
          <w:rFonts w:ascii="宋体" w:hAnsi="宋体" w:cs="宋体"/>
          <w:sz w:val="36"/>
          <w:szCs w:val="36"/>
        </w:rPr>
      </w:pPr>
      <w:bookmarkStart w:id="0" w:name="_Toc1519"/>
      <w:r>
        <w:rPr>
          <w:rFonts w:hint="eastAsia" w:ascii="宋体" w:hAnsi="宋体" w:cs="宋体"/>
          <w:sz w:val="36"/>
          <w:szCs w:val="36"/>
        </w:rPr>
        <w:t>第一部分  报价邀请</w:t>
      </w:r>
      <w:bookmarkEnd w:id="0"/>
    </w:p>
    <w:p>
      <w:pPr>
        <w:snapToGrid w:val="0"/>
        <w:spacing w:line="360" w:lineRule="auto"/>
        <w:ind w:firstLine="420" w:firstLineChars="200"/>
        <w:rPr>
          <w:rFonts w:ascii="宋体" w:hAnsi="宋体" w:cs="宋体"/>
          <w:szCs w:val="21"/>
        </w:rPr>
      </w:pPr>
      <w:r>
        <w:rPr>
          <w:rFonts w:hint="eastAsia" w:ascii="宋体" w:hAnsi="宋体" w:cs="宋体"/>
          <w:bCs/>
          <w:szCs w:val="21"/>
        </w:rPr>
        <w:t>根据阳江市人民检察院工作网移动存储交换服务平台建设需要，我院就该项目进行邀请招标采购，现通过我院外网发布公告，邀请</w:t>
      </w:r>
      <w:r>
        <w:rPr>
          <w:rFonts w:hint="eastAsia" w:ascii="宋体" w:hAnsi="宋体" w:cs="宋体"/>
          <w:szCs w:val="21"/>
        </w:rPr>
        <w:t>符合资格条件的供应商参加</w:t>
      </w:r>
      <w:r>
        <w:rPr>
          <w:rFonts w:hint="eastAsia" w:ascii="宋体" w:hAnsi="宋体" w:cs="宋体"/>
          <w:bCs/>
          <w:szCs w:val="21"/>
        </w:rPr>
        <w:t>。有关事项如下：</w:t>
      </w:r>
    </w:p>
    <w:p>
      <w:pPr>
        <w:numPr>
          <w:ilvl w:val="0"/>
          <w:numId w:val="1"/>
        </w:numPr>
        <w:snapToGrid w:val="0"/>
        <w:spacing w:line="360" w:lineRule="auto"/>
        <w:rPr>
          <w:rFonts w:ascii="宋体" w:hAnsi="宋体" w:cs="宋体"/>
          <w:szCs w:val="21"/>
        </w:rPr>
      </w:pPr>
      <w:r>
        <w:rPr>
          <w:rFonts w:hint="eastAsia" w:ascii="宋体" w:hAnsi="宋体" w:cs="宋体"/>
          <w:szCs w:val="21"/>
        </w:rPr>
        <w:t>采购项目概况：</w:t>
      </w:r>
    </w:p>
    <w:p>
      <w:pPr>
        <w:widowControl/>
        <w:numPr>
          <w:ilvl w:val="0"/>
          <w:numId w:val="2"/>
        </w:numPr>
        <w:spacing w:line="360" w:lineRule="auto"/>
        <w:ind w:left="540" w:firstLine="360"/>
        <w:rPr>
          <w:rFonts w:ascii="宋体" w:hAnsi="宋体" w:cs="宋体"/>
          <w:szCs w:val="21"/>
        </w:rPr>
      </w:pPr>
      <w:r>
        <w:rPr>
          <w:rFonts w:hint="eastAsia" w:ascii="宋体" w:hAnsi="宋体" w:cs="宋体"/>
          <w:szCs w:val="21"/>
        </w:rPr>
        <w:t>项目名称：阳江市检察机关</w:t>
      </w:r>
      <w:r>
        <w:rPr>
          <w:rFonts w:hint="eastAsia" w:ascii="宋体" w:hAnsi="宋体" w:cs="宋体"/>
          <w:bCs/>
          <w:szCs w:val="21"/>
        </w:rPr>
        <w:t>工作网移动存储交换服务平台</w:t>
      </w:r>
      <w:r>
        <w:rPr>
          <w:rFonts w:hint="eastAsia" w:ascii="宋体" w:hAnsi="宋体" w:cs="宋体"/>
          <w:szCs w:val="21"/>
        </w:rPr>
        <w:t>建设项目</w:t>
      </w:r>
    </w:p>
    <w:p>
      <w:pPr>
        <w:widowControl/>
        <w:numPr>
          <w:ilvl w:val="0"/>
          <w:numId w:val="2"/>
        </w:numPr>
        <w:spacing w:line="360" w:lineRule="auto"/>
        <w:ind w:left="540" w:firstLine="360"/>
        <w:rPr>
          <w:rFonts w:ascii="宋体" w:hAnsi="宋体" w:cs="宋体"/>
          <w:szCs w:val="21"/>
        </w:rPr>
      </w:pPr>
      <w:r>
        <w:rPr>
          <w:rFonts w:hint="eastAsia" w:ascii="宋体" w:hAnsi="宋体" w:cs="宋体"/>
          <w:szCs w:val="21"/>
        </w:rPr>
        <w:t>采购预算：341363.51元</w:t>
      </w:r>
    </w:p>
    <w:p>
      <w:pPr>
        <w:widowControl/>
        <w:numPr>
          <w:ilvl w:val="0"/>
          <w:numId w:val="2"/>
        </w:numPr>
        <w:spacing w:line="360" w:lineRule="auto"/>
        <w:ind w:left="540" w:firstLine="360"/>
        <w:rPr>
          <w:rFonts w:ascii="宋体" w:hAnsi="宋体" w:cs="宋体"/>
          <w:szCs w:val="21"/>
        </w:rPr>
      </w:pPr>
      <w:r>
        <w:rPr>
          <w:rFonts w:hint="eastAsia" w:ascii="宋体" w:hAnsi="宋体" w:cs="宋体"/>
          <w:szCs w:val="21"/>
        </w:rPr>
        <w:t>采购方式：邀请招标</w:t>
      </w:r>
    </w:p>
    <w:p>
      <w:pPr>
        <w:widowControl/>
        <w:numPr>
          <w:ilvl w:val="0"/>
          <w:numId w:val="2"/>
        </w:numPr>
        <w:spacing w:line="360" w:lineRule="auto"/>
        <w:ind w:left="540" w:firstLine="360"/>
        <w:rPr>
          <w:rFonts w:ascii="宋体" w:hAnsi="宋体" w:cs="宋体"/>
          <w:szCs w:val="21"/>
        </w:rPr>
      </w:pPr>
      <w:r>
        <w:rPr>
          <w:rFonts w:hint="eastAsia" w:ascii="宋体" w:hAnsi="宋体" w:cs="宋体"/>
          <w:szCs w:val="21"/>
        </w:rPr>
        <w:t>项目内容及需求：</w:t>
      </w:r>
      <w:r>
        <w:rPr>
          <w:rFonts w:hint="eastAsia" w:ascii="宋体" w:hAnsi="宋体" w:cs="宋体"/>
          <w:bCs/>
          <w:szCs w:val="21"/>
        </w:rPr>
        <w:t>阳江市人民检察院工作网移动存储交换服务平台建设</w:t>
      </w:r>
      <w:r>
        <w:rPr>
          <w:rFonts w:hint="eastAsia" w:ascii="宋体" w:hAnsi="宋体" w:cs="宋体"/>
          <w:szCs w:val="21"/>
        </w:rPr>
        <w:t>（具体内容及要求详见用户需求书）</w:t>
      </w:r>
    </w:p>
    <w:p>
      <w:pPr>
        <w:widowControl/>
        <w:numPr>
          <w:ilvl w:val="0"/>
          <w:numId w:val="2"/>
        </w:numPr>
        <w:spacing w:line="360" w:lineRule="auto"/>
        <w:ind w:left="540" w:firstLine="360"/>
        <w:rPr>
          <w:rFonts w:ascii="宋体" w:hAnsi="宋体" w:cs="宋体"/>
          <w:szCs w:val="21"/>
        </w:rPr>
      </w:pPr>
      <w:r>
        <w:rPr>
          <w:rFonts w:hint="eastAsia" w:ascii="宋体" w:hAnsi="宋体" w:cs="宋体"/>
          <w:szCs w:val="21"/>
        </w:rPr>
        <w:t>完工期：合同签订生效后60个日历天内完成。</w:t>
      </w:r>
    </w:p>
    <w:p>
      <w:pPr>
        <w:widowControl/>
        <w:numPr>
          <w:ilvl w:val="0"/>
          <w:numId w:val="2"/>
        </w:numPr>
        <w:spacing w:line="360" w:lineRule="auto"/>
        <w:ind w:left="540" w:firstLine="360"/>
        <w:rPr>
          <w:rFonts w:ascii="宋体" w:hAnsi="宋体" w:cs="宋体"/>
          <w:szCs w:val="21"/>
        </w:rPr>
      </w:pPr>
      <w:r>
        <w:rPr>
          <w:rFonts w:hint="eastAsia" w:ascii="宋体" w:hAnsi="宋体" w:cs="宋体"/>
          <w:szCs w:val="21"/>
        </w:rPr>
        <w:t>项目地点：阳江市人民检察院。</w:t>
      </w:r>
    </w:p>
    <w:p>
      <w:pPr>
        <w:pStyle w:val="13"/>
        <w:numPr>
          <w:ilvl w:val="0"/>
          <w:numId w:val="3"/>
        </w:numPr>
        <w:adjustRightInd w:val="0"/>
        <w:snapToGrid w:val="0"/>
        <w:spacing w:line="400" w:lineRule="exact"/>
        <w:ind w:firstLineChars="0"/>
        <w:rPr>
          <w:rFonts w:ascii="宋体" w:hAnsi="宋体" w:cs="宋体"/>
          <w:szCs w:val="21"/>
        </w:rPr>
      </w:pPr>
      <w:r>
        <w:rPr>
          <w:rFonts w:hint="eastAsia" w:ascii="宋体" w:hAnsi="宋体" w:cs="宋体"/>
          <w:bCs/>
          <w:szCs w:val="21"/>
        </w:rPr>
        <w:t>供应商资格</w:t>
      </w:r>
      <w:r>
        <w:rPr>
          <w:rFonts w:hint="eastAsia" w:ascii="宋体" w:hAnsi="宋体" w:cs="宋体"/>
          <w:szCs w:val="21"/>
        </w:rPr>
        <w:t>：</w:t>
      </w:r>
    </w:p>
    <w:p>
      <w:pPr>
        <w:adjustRightInd w:val="0"/>
        <w:snapToGrid w:val="0"/>
        <w:spacing w:line="400" w:lineRule="exact"/>
        <w:ind w:firstLine="422" w:firstLineChars="200"/>
        <w:rPr>
          <w:rFonts w:ascii="宋体" w:hAnsi="宋体" w:cs="宋体"/>
          <w:szCs w:val="21"/>
        </w:rPr>
      </w:pPr>
      <w:r>
        <w:rPr>
          <w:rFonts w:hint="eastAsia" w:ascii="宋体" w:hAnsi="宋体" w:cs="宋体"/>
          <w:b/>
          <w:bCs/>
          <w:szCs w:val="21"/>
        </w:rPr>
        <w:t>注：</w:t>
      </w:r>
      <w:r>
        <w:rPr>
          <w:rFonts w:hint="eastAsia" w:ascii="宋体" w:hAnsi="宋体" w:cs="Tahoma"/>
          <w:b/>
          <w:bCs/>
          <w:color w:val="000000"/>
        </w:rPr>
        <w:t>投标人投标时须提供营业执照原件核查，否则将作无效投标处理</w:t>
      </w:r>
      <w:r>
        <w:rPr>
          <w:rFonts w:hint="eastAsia" w:ascii="宋体" w:hAnsi="宋体" w:cs="宋体"/>
          <w:b/>
          <w:bCs/>
          <w:szCs w:val="21"/>
        </w:rPr>
        <w:t>。</w:t>
      </w:r>
    </w:p>
    <w:p>
      <w:pPr>
        <w:widowControl/>
        <w:numPr>
          <w:ilvl w:val="0"/>
          <w:numId w:val="4"/>
        </w:numPr>
        <w:tabs>
          <w:tab w:val="left" w:pos="735"/>
          <w:tab w:val="left" w:pos="1680"/>
        </w:tabs>
        <w:adjustRightInd w:val="0"/>
        <w:snapToGrid w:val="0"/>
        <w:spacing w:line="400" w:lineRule="exact"/>
        <w:ind w:left="420" w:right="-107"/>
        <w:rPr>
          <w:rFonts w:ascii="宋体" w:hAnsi="宋体"/>
          <w:color w:val="000000"/>
          <w:szCs w:val="21"/>
        </w:rPr>
      </w:pPr>
      <w:r>
        <w:rPr>
          <w:rFonts w:hint="eastAsia" w:ascii="宋体" w:hAnsi="宋体"/>
          <w:color w:val="000000"/>
          <w:szCs w:val="21"/>
        </w:rPr>
        <w:t>投标人</w:t>
      </w:r>
      <w:r>
        <w:rPr>
          <w:rFonts w:ascii="宋体" w:hAnsi="宋体"/>
          <w:color w:val="000000"/>
          <w:szCs w:val="21"/>
        </w:rPr>
        <w:t>应具备《中华人民共和国政府采购法》第二十二条规定的条件</w:t>
      </w:r>
      <w:r>
        <w:rPr>
          <w:rFonts w:hint="eastAsia" w:ascii="宋体" w:hAnsi="宋体"/>
          <w:color w:val="000000"/>
          <w:szCs w:val="21"/>
        </w:rPr>
        <w:t>:</w:t>
      </w:r>
    </w:p>
    <w:p>
      <w:pPr>
        <w:widowControl/>
        <w:tabs>
          <w:tab w:val="left" w:pos="735"/>
          <w:tab w:val="left" w:pos="1680"/>
        </w:tabs>
        <w:adjustRightInd w:val="0"/>
        <w:snapToGrid w:val="0"/>
        <w:spacing w:line="400" w:lineRule="exact"/>
        <w:ind w:left="1029" w:leftChars="490" w:right="-107"/>
        <w:rPr>
          <w:rFonts w:ascii="宋体" w:hAnsi="宋体"/>
          <w:color w:val="000000"/>
          <w:szCs w:val="21"/>
        </w:rPr>
      </w:pPr>
      <w:r>
        <w:rPr>
          <w:rFonts w:ascii="宋体" w:hAnsi="宋体"/>
          <w:color w:val="000000"/>
          <w:szCs w:val="21"/>
        </w:rPr>
        <w:t>1）具有独立承担民事责任的能力；</w:t>
      </w:r>
      <w:r>
        <w:rPr>
          <w:rFonts w:ascii="宋体" w:hAnsi="宋体"/>
          <w:color w:val="000000"/>
          <w:szCs w:val="21"/>
        </w:rPr>
        <w:br w:type="textWrapping"/>
      </w:r>
      <w:r>
        <w:rPr>
          <w:rFonts w:ascii="宋体" w:hAnsi="宋体"/>
          <w:color w:val="000000"/>
          <w:szCs w:val="21"/>
        </w:rPr>
        <w:t>2）具有良好的商业信誉和健全的财务会计制度；</w:t>
      </w:r>
      <w:r>
        <w:rPr>
          <w:rFonts w:ascii="宋体" w:hAnsi="宋体"/>
          <w:color w:val="000000"/>
          <w:szCs w:val="21"/>
        </w:rPr>
        <w:br w:type="textWrapping"/>
      </w:r>
      <w:r>
        <w:rPr>
          <w:rFonts w:ascii="宋体" w:hAnsi="宋体"/>
          <w:color w:val="000000"/>
          <w:szCs w:val="21"/>
        </w:rPr>
        <w:t>3）具有履行合同所必需的设备和专业技术能力；</w:t>
      </w:r>
      <w:r>
        <w:rPr>
          <w:rFonts w:ascii="宋体" w:hAnsi="宋体"/>
          <w:color w:val="000000"/>
          <w:szCs w:val="21"/>
        </w:rPr>
        <w:br w:type="textWrapping"/>
      </w:r>
      <w:r>
        <w:rPr>
          <w:rFonts w:ascii="宋体" w:hAnsi="宋体"/>
          <w:color w:val="000000"/>
          <w:szCs w:val="21"/>
        </w:rPr>
        <w:t>4）有依法缴纳税收和社会保障资金的良好记录；</w:t>
      </w:r>
      <w:r>
        <w:rPr>
          <w:rFonts w:ascii="宋体" w:hAnsi="宋体"/>
          <w:color w:val="000000"/>
          <w:szCs w:val="21"/>
        </w:rPr>
        <w:br w:type="textWrapping"/>
      </w:r>
      <w:r>
        <w:rPr>
          <w:rFonts w:ascii="宋体" w:hAnsi="宋体"/>
          <w:color w:val="000000"/>
          <w:szCs w:val="21"/>
        </w:rPr>
        <w:t>5）参加政府采购活动前三年内，在经营活动中没有重大违法记录；</w:t>
      </w:r>
      <w:r>
        <w:rPr>
          <w:rFonts w:ascii="宋体" w:hAnsi="宋体"/>
          <w:color w:val="000000"/>
          <w:szCs w:val="21"/>
        </w:rPr>
        <w:br w:type="textWrapping"/>
      </w:r>
      <w:r>
        <w:rPr>
          <w:rFonts w:ascii="宋体" w:hAnsi="宋体"/>
          <w:color w:val="000000"/>
          <w:szCs w:val="21"/>
        </w:rPr>
        <w:t>6）法律、行政法规规定的其他条件。</w:t>
      </w:r>
    </w:p>
    <w:p>
      <w:pPr>
        <w:widowControl/>
        <w:numPr>
          <w:ilvl w:val="0"/>
          <w:numId w:val="4"/>
        </w:numPr>
        <w:tabs>
          <w:tab w:val="left" w:pos="735"/>
          <w:tab w:val="left" w:pos="1680"/>
        </w:tabs>
        <w:adjustRightInd w:val="0"/>
        <w:snapToGrid w:val="0"/>
        <w:spacing w:line="400" w:lineRule="exact"/>
        <w:ind w:left="420" w:right="-107"/>
        <w:rPr>
          <w:rFonts w:ascii="宋体" w:hAnsi="宋体"/>
          <w:color w:val="000000"/>
          <w:szCs w:val="21"/>
        </w:rPr>
      </w:pPr>
      <w:r>
        <w:rPr>
          <w:rFonts w:hint="eastAsia" w:ascii="宋体" w:hAnsi="宋体"/>
          <w:color w:val="000000"/>
          <w:szCs w:val="21"/>
        </w:rPr>
        <w:t>投标人须是中华人民共和国境内合法注册，能独立承担民事责任并具有相关经营范围的法人；</w:t>
      </w:r>
    </w:p>
    <w:p>
      <w:pPr>
        <w:widowControl/>
        <w:numPr>
          <w:ilvl w:val="0"/>
          <w:numId w:val="4"/>
        </w:numPr>
        <w:tabs>
          <w:tab w:val="left" w:pos="735"/>
          <w:tab w:val="left" w:pos="1680"/>
        </w:tabs>
        <w:adjustRightInd w:val="0"/>
        <w:snapToGrid w:val="0"/>
        <w:spacing w:line="400" w:lineRule="exact"/>
        <w:ind w:left="420" w:right="-107"/>
        <w:rPr>
          <w:rFonts w:ascii="宋体" w:hAnsi="宋体"/>
          <w:color w:val="000000"/>
          <w:szCs w:val="21"/>
        </w:rPr>
      </w:pPr>
      <w:r>
        <w:rPr>
          <w:rFonts w:hint="eastAsia" w:ascii="宋体" w:hAnsi="宋体"/>
          <w:color w:val="000000"/>
          <w:szCs w:val="21"/>
        </w:rPr>
        <w:t>本项目不接受联合体投标，不允许投标人对本招标项目进行分包和转包；</w:t>
      </w:r>
    </w:p>
    <w:p>
      <w:pPr>
        <w:pStyle w:val="13"/>
        <w:widowControl/>
        <w:numPr>
          <w:ilvl w:val="0"/>
          <w:numId w:val="3"/>
        </w:numPr>
        <w:tabs>
          <w:tab w:val="left" w:pos="735"/>
          <w:tab w:val="left" w:pos="1680"/>
        </w:tabs>
        <w:adjustRightInd w:val="0"/>
        <w:snapToGrid w:val="0"/>
        <w:spacing w:line="400" w:lineRule="exact"/>
        <w:ind w:right="-107" w:firstLineChars="0"/>
        <w:rPr>
          <w:rFonts w:ascii="宋体" w:hAnsi="宋体"/>
          <w:color w:val="000000"/>
          <w:szCs w:val="21"/>
        </w:rPr>
      </w:pPr>
      <w:r>
        <w:rPr>
          <w:rFonts w:hint="eastAsia" w:ascii="宋体" w:hAnsi="宋体"/>
          <w:color w:val="000000"/>
          <w:szCs w:val="21"/>
        </w:rPr>
        <w:t>招标时需提交的资料（用信封密封盖章）</w:t>
      </w:r>
    </w:p>
    <w:p>
      <w:pPr>
        <w:pStyle w:val="13"/>
        <w:widowControl/>
        <w:tabs>
          <w:tab w:val="left" w:pos="735"/>
          <w:tab w:val="left" w:pos="1680"/>
        </w:tabs>
        <w:adjustRightInd w:val="0"/>
        <w:snapToGrid w:val="0"/>
        <w:spacing w:line="400" w:lineRule="exact"/>
        <w:ind w:left="840" w:right="-107" w:firstLine="0" w:firstLineChars="0"/>
        <w:rPr>
          <w:rFonts w:ascii="宋体" w:hAnsi="宋体"/>
          <w:color w:val="000000"/>
          <w:szCs w:val="21"/>
        </w:rPr>
      </w:pPr>
      <w:r>
        <w:rPr>
          <w:rFonts w:hint="eastAsia" w:ascii="宋体" w:hAnsi="宋体"/>
          <w:color w:val="000000"/>
          <w:szCs w:val="21"/>
        </w:rPr>
        <w:t>（1）、中华人民共和国法人证书副本复印件或企业法人营业执照副本复印件</w:t>
      </w:r>
    </w:p>
    <w:p>
      <w:pPr>
        <w:pStyle w:val="13"/>
        <w:widowControl/>
        <w:tabs>
          <w:tab w:val="left" w:pos="735"/>
          <w:tab w:val="left" w:pos="1680"/>
        </w:tabs>
        <w:adjustRightInd w:val="0"/>
        <w:snapToGrid w:val="0"/>
        <w:spacing w:line="400" w:lineRule="exact"/>
        <w:ind w:left="840" w:right="-107" w:firstLine="0" w:firstLineChars="0"/>
        <w:rPr>
          <w:rFonts w:ascii="宋体" w:hAnsi="宋体"/>
          <w:color w:val="000000"/>
          <w:szCs w:val="21"/>
        </w:rPr>
      </w:pPr>
      <w:r>
        <w:rPr>
          <w:rFonts w:hint="eastAsia" w:ascii="宋体" w:hAnsi="宋体"/>
          <w:color w:val="000000"/>
          <w:szCs w:val="21"/>
        </w:rPr>
        <w:t>（2）投标人在广东省政府采购网备案及定点采购台式计算机供应商资格的网页截图</w:t>
      </w:r>
    </w:p>
    <w:p>
      <w:pPr>
        <w:spacing w:beforeLines="50" w:line="360" w:lineRule="auto"/>
        <w:ind w:left="425" w:firstLine="420" w:firstLineChars="200"/>
        <w:rPr>
          <w:rFonts w:ascii="宋体" w:hAnsi="宋体"/>
          <w:snapToGrid w:val="0"/>
          <w:color w:val="000000"/>
          <w:szCs w:val="21"/>
        </w:rPr>
      </w:pPr>
      <w:r>
        <w:rPr>
          <w:rFonts w:hint="eastAsia" w:ascii="宋体" w:hAnsi="宋体"/>
          <w:color w:val="000000"/>
          <w:szCs w:val="21"/>
        </w:rPr>
        <w:t>（3）报价方案，</w:t>
      </w:r>
      <w:r>
        <w:rPr>
          <w:rFonts w:hint="eastAsia" w:ascii="宋体" w:hAnsi="宋体"/>
          <w:snapToGrid w:val="0"/>
          <w:color w:val="000000"/>
          <w:szCs w:val="21"/>
        </w:rPr>
        <w:t>投标人根据设备的实际报价及选用技术参数优于或等于的产品进行投标，并列明详细的技术参数、品牌、型号及产地等。</w:t>
      </w:r>
    </w:p>
    <w:p>
      <w:pPr>
        <w:pStyle w:val="13"/>
        <w:numPr>
          <w:ilvl w:val="0"/>
          <w:numId w:val="3"/>
        </w:numPr>
        <w:spacing w:beforeLines="50" w:line="360" w:lineRule="auto"/>
        <w:ind w:firstLineChars="0"/>
        <w:jc w:val="left"/>
        <w:rPr>
          <w:rFonts w:ascii="宋体" w:hAnsi="宋体"/>
          <w:color w:val="000000"/>
          <w:szCs w:val="21"/>
        </w:rPr>
      </w:pPr>
      <w:r>
        <w:rPr>
          <w:rFonts w:hint="eastAsia" w:ascii="宋体" w:hAnsi="宋体"/>
          <w:snapToGrid w:val="0"/>
          <w:color w:val="000000"/>
          <w:szCs w:val="21"/>
        </w:rPr>
        <w:t>评标办法，经评审报价最低者中标</w:t>
      </w:r>
    </w:p>
    <w:p>
      <w:pPr>
        <w:snapToGrid w:val="0"/>
        <w:spacing w:line="360" w:lineRule="auto"/>
        <w:ind w:left="420"/>
        <w:rPr>
          <w:rFonts w:ascii="宋体" w:hAnsi="宋体" w:cs="宋体"/>
          <w:szCs w:val="21"/>
        </w:rPr>
      </w:pPr>
      <w:r>
        <w:rPr>
          <w:rFonts w:hint="eastAsia" w:ascii="宋体" w:hAnsi="宋体" w:cs="宋体"/>
        </w:rPr>
        <w:t>五、招标响应文件递交截止时间</w:t>
      </w:r>
      <w:r>
        <w:rPr>
          <w:rFonts w:hint="eastAsia" w:ascii="宋体" w:hAnsi="宋体" w:cs="宋体"/>
          <w:szCs w:val="21"/>
        </w:rPr>
        <w:t>及地点：</w:t>
      </w:r>
    </w:p>
    <w:p>
      <w:pPr>
        <w:widowControl/>
        <w:numPr>
          <w:ilvl w:val="0"/>
          <w:numId w:val="5"/>
        </w:numPr>
        <w:spacing w:line="360" w:lineRule="auto"/>
        <w:ind w:left="540" w:firstLine="360"/>
        <w:rPr>
          <w:rFonts w:ascii="宋体" w:hAnsi="宋体" w:cs="宋体"/>
          <w:szCs w:val="21"/>
        </w:rPr>
      </w:pPr>
      <w:r>
        <w:rPr>
          <w:rFonts w:hint="eastAsia" w:ascii="宋体" w:hAnsi="宋体" w:cs="宋体"/>
          <w:szCs w:val="21"/>
        </w:rPr>
        <w:t xml:space="preserve">招标响应文件递交时间：2020年 </w:t>
      </w:r>
      <w:r>
        <w:rPr>
          <w:rFonts w:hint="eastAsia" w:ascii="宋体" w:hAnsi="宋体" w:cs="宋体"/>
          <w:szCs w:val="21"/>
          <w:lang w:val="en-US" w:eastAsia="zh-CN"/>
        </w:rPr>
        <w:t>11</w:t>
      </w:r>
      <w:r>
        <w:rPr>
          <w:rFonts w:hint="eastAsia" w:ascii="宋体" w:hAnsi="宋体" w:cs="宋体"/>
          <w:szCs w:val="21"/>
        </w:rPr>
        <w:t xml:space="preserve"> 月 </w:t>
      </w:r>
      <w:r>
        <w:rPr>
          <w:rFonts w:hint="eastAsia" w:ascii="宋体" w:hAnsi="宋体" w:cs="宋体"/>
          <w:szCs w:val="21"/>
          <w:lang w:val="en-US" w:eastAsia="zh-CN"/>
        </w:rPr>
        <w:t>18</w:t>
      </w:r>
      <w:r>
        <w:rPr>
          <w:rFonts w:hint="eastAsia" w:ascii="宋体" w:hAnsi="宋体" w:cs="宋体"/>
          <w:szCs w:val="21"/>
        </w:rPr>
        <w:t xml:space="preserve"> 日上午9：</w:t>
      </w:r>
      <w:r>
        <w:rPr>
          <w:rFonts w:hint="eastAsia" w:ascii="宋体" w:hAnsi="宋体" w:cs="宋体"/>
          <w:szCs w:val="21"/>
          <w:lang w:val="en-US" w:eastAsia="zh-CN"/>
        </w:rPr>
        <w:t>30</w:t>
      </w:r>
      <w:r>
        <w:rPr>
          <w:rFonts w:hint="eastAsia" w:ascii="宋体" w:hAnsi="宋体" w:cs="宋体"/>
          <w:szCs w:val="21"/>
        </w:rPr>
        <w:t>（北京时间）。提前、逾期递交或递交不符合规定的邀标文件恕不接受。</w:t>
      </w:r>
    </w:p>
    <w:p>
      <w:pPr>
        <w:widowControl/>
        <w:numPr>
          <w:ilvl w:val="0"/>
          <w:numId w:val="5"/>
        </w:numPr>
        <w:spacing w:line="360" w:lineRule="auto"/>
        <w:ind w:left="540" w:firstLine="360"/>
        <w:rPr>
          <w:rFonts w:ascii="宋体" w:hAnsi="宋体" w:cs="宋体"/>
          <w:szCs w:val="21"/>
        </w:rPr>
      </w:pPr>
      <w:r>
        <w:rPr>
          <w:rFonts w:hint="eastAsia" w:ascii="宋体" w:hAnsi="宋体" w:cs="宋体"/>
          <w:szCs w:val="21"/>
        </w:rPr>
        <w:t>招标响应文件递交截止时间、</w:t>
      </w:r>
      <w:r>
        <w:rPr>
          <w:rFonts w:hint="eastAsia" w:ascii="宋体" w:hAnsi="宋体" w:cs="宋体"/>
          <w:szCs w:val="21"/>
          <w:lang w:eastAsia="zh-CN"/>
        </w:rPr>
        <w:t>评标</w:t>
      </w:r>
      <w:r>
        <w:rPr>
          <w:rFonts w:hint="eastAsia" w:ascii="宋体" w:hAnsi="宋体" w:cs="宋体"/>
          <w:szCs w:val="21"/>
        </w:rPr>
        <w:t xml:space="preserve">时间：2020年 </w:t>
      </w:r>
      <w:r>
        <w:rPr>
          <w:rFonts w:hint="eastAsia" w:ascii="宋体" w:hAnsi="宋体" w:cs="宋体"/>
          <w:szCs w:val="21"/>
          <w:lang w:val="en-US" w:eastAsia="zh-CN"/>
        </w:rPr>
        <w:t>11</w:t>
      </w:r>
      <w:r>
        <w:rPr>
          <w:rFonts w:hint="eastAsia" w:ascii="宋体" w:hAnsi="宋体" w:cs="宋体"/>
          <w:szCs w:val="21"/>
        </w:rPr>
        <w:t xml:space="preserve"> 月 </w:t>
      </w:r>
      <w:r>
        <w:rPr>
          <w:rFonts w:hint="eastAsia" w:ascii="宋体" w:hAnsi="宋体" w:cs="宋体"/>
          <w:szCs w:val="21"/>
          <w:lang w:val="en-US" w:eastAsia="zh-CN"/>
        </w:rPr>
        <w:t>18</w:t>
      </w:r>
      <w:r>
        <w:rPr>
          <w:rFonts w:hint="eastAsia" w:ascii="宋体" w:hAnsi="宋体" w:cs="宋体"/>
          <w:szCs w:val="21"/>
        </w:rPr>
        <w:t xml:space="preserve"> 日上午9:</w:t>
      </w:r>
      <w:r>
        <w:rPr>
          <w:rFonts w:hint="eastAsia" w:ascii="宋体" w:hAnsi="宋体" w:cs="宋体"/>
          <w:szCs w:val="21"/>
          <w:lang w:val="en-US" w:eastAsia="zh-CN"/>
        </w:rPr>
        <w:t>30</w:t>
      </w:r>
      <w:r>
        <w:rPr>
          <w:rFonts w:hint="eastAsia" w:ascii="宋体" w:hAnsi="宋体" w:cs="宋体"/>
          <w:szCs w:val="21"/>
        </w:rPr>
        <w:t xml:space="preserve"> (北京时间)。</w:t>
      </w:r>
    </w:p>
    <w:p>
      <w:pPr>
        <w:widowControl/>
        <w:numPr>
          <w:ilvl w:val="0"/>
          <w:numId w:val="5"/>
        </w:numPr>
        <w:spacing w:line="360" w:lineRule="auto"/>
        <w:ind w:left="540" w:firstLine="360"/>
        <w:rPr>
          <w:rFonts w:ascii="宋体" w:hAnsi="宋体" w:cs="宋体"/>
          <w:szCs w:val="21"/>
        </w:rPr>
      </w:pPr>
      <w:r>
        <w:rPr>
          <w:rFonts w:hint="eastAsia" w:ascii="宋体" w:hAnsi="宋体" w:cs="宋体"/>
          <w:szCs w:val="21"/>
        </w:rPr>
        <w:t>招标响应文件递交地点：阳江市人民检察院1号楼四楼会议室</w:t>
      </w:r>
    </w:p>
    <w:p>
      <w:pPr>
        <w:pStyle w:val="13"/>
        <w:numPr>
          <w:ilvl w:val="0"/>
          <w:numId w:val="6"/>
        </w:numPr>
        <w:snapToGrid w:val="0"/>
        <w:spacing w:line="360" w:lineRule="auto"/>
        <w:ind w:firstLineChars="0"/>
        <w:rPr>
          <w:rFonts w:ascii="宋体" w:hAnsi="宋体" w:cs="宋体"/>
          <w:szCs w:val="21"/>
        </w:rPr>
      </w:pPr>
      <w:r>
        <w:rPr>
          <w:rFonts w:hint="eastAsia" w:ascii="宋体" w:hAnsi="宋体" w:cs="宋体"/>
          <w:szCs w:val="21"/>
        </w:rPr>
        <w:t>采购人、采购代理机构的名称、地址和联系方式</w:t>
      </w:r>
    </w:p>
    <w:p>
      <w:pPr>
        <w:tabs>
          <w:tab w:val="left" w:pos="735"/>
          <w:tab w:val="left" w:pos="4680"/>
        </w:tabs>
        <w:adjustRightInd w:val="0"/>
        <w:snapToGrid w:val="0"/>
        <w:spacing w:line="360" w:lineRule="auto"/>
        <w:ind w:firstLine="735" w:firstLineChars="350"/>
        <w:rPr>
          <w:rFonts w:ascii="宋体" w:hAnsi="宋体" w:cs="宋体"/>
          <w:bCs/>
          <w:szCs w:val="21"/>
        </w:rPr>
      </w:pPr>
      <w:r>
        <w:rPr>
          <w:rFonts w:hint="eastAsia" w:ascii="宋体" w:hAnsi="宋体" w:cs="宋体"/>
          <w:szCs w:val="21"/>
        </w:rPr>
        <w:t xml:space="preserve"> 名    称：广东省阳江市人民检察院</w:t>
      </w:r>
    </w:p>
    <w:p>
      <w:pPr>
        <w:tabs>
          <w:tab w:val="left" w:pos="735"/>
          <w:tab w:val="left" w:pos="4680"/>
        </w:tabs>
        <w:adjustRightInd w:val="0"/>
        <w:snapToGrid w:val="0"/>
        <w:spacing w:line="360" w:lineRule="auto"/>
        <w:ind w:firstLine="840" w:firstLineChars="400"/>
        <w:rPr>
          <w:rFonts w:ascii="宋体" w:hAnsi="宋体" w:cs="宋体"/>
          <w:szCs w:val="21"/>
        </w:rPr>
      </w:pPr>
      <w:r>
        <w:rPr>
          <w:rFonts w:hint="eastAsia" w:ascii="宋体" w:hAnsi="宋体" w:cs="宋体"/>
          <w:szCs w:val="21"/>
        </w:rPr>
        <w:t>联系人：郑经华</w:t>
      </w:r>
      <w:bookmarkStart w:id="12" w:name="_GoBack"/>
      <w:bookmarkEnd w:id="12"/>
    </w:p>
    <w:p>
      <w:pPr>
        <w:widowControl/>
        <w:tabs>
          <w:tab w:val="left" w:pos="735"/>
        </w:tabs>
        <w:adjustRightInd w:val="0"/>
        <w:snapToGrid w:val="0"/>
        <w:spacing w:line="360" w:lineRule="auto"/>
        <w:ind w:firstLine="840" w:firstLineChars="400"/>
        <w:rPr>
          <w:rFonts w:ascii="宋体" w:hAnsi="宋体" w:cs="宋体"/>
          <w:bCs/>
          <w:szCs w:val="21"/>
        </w:rPr>
      </w:pPr>
      <w:r>
        <w:rPr>
          <w:rFonts w:hint="eastAsia" w:ascii="宋体" w:hAnsi="宋体" w:cs="宋体"/>
          <w:szCs w:val="21"/>
        </w:rPr>
        <w:t>联系电话：</w:t>
      </w:r>
      <w:r>
        <w:rPr>
          <w:rFonts w:hint="eastAsia" w:ascii="宋体" w:hAnsi="宋体" w:cs="宋体"/>
          <w:bCs/>
          <w:szCs w:val="21"/>
        </w:rPr>
        <w:t>0662-3360076</w:t>
      </w:r>
    </w:p>
    <w:p>
      <w:pPr>
        <w:widowControl/>
        <w:tabs>
          <w:tab w:val="left" w:pos="735"/>
        </w:tabs>
        <w:adjustRightInd w:val="0"/>
        <w:snapToGrid w:val="0"/>
        <w:spacing w:line="360" w:lineRule="auto"/>
        <w:ind w:firstLine="840" w:firstLineChars="400"/>
        <w:rPr>
          <w:rFonts w:ascii="宋体" w:hAnsi="宋体" w:cs="宋体"/>
          <w:szCs w:val="21"/>
        </w:rPr>
      </w:pPr>
    </w:p>
    <w:p>
      <w:pPr>
        <w:widowControl/>
        <w:snapToGrid w:val="0"/>
        <w:spacing w:line="360" w:lineRule="auto"/>
        <w:ind w:firstLine="810" w:firstLineChars="225"/>
        <w:jc w:val="center"/>
        <w:rPr>
          <w:rStyle w:val="18"/>
          <w:rFonts w:ascii="宋体" w:hAnsi="宋体" w:cs="宋体"/>
          <w:b w:val="0"/>
          <w:bCs w:val="0"/>
          <w:sz w:val="36"/>
          <w:szCs w:val="36"/>
        </w:rPr>
      </w:pPr>
      <w:bookmarkStart w:id="1" w:name="_Toc2797"/>
      <w:r>
        <w:rPr>
          <w:rStyle w:val="18"/>
          <w:rFonts w:hint="eastAsia" w:ascii="宋体" w:hAnsi="宋体" w:cs="宋体"/>
          <w:b w:val="0"/>
          <w:bCs w:val="0"/>
          <w:sz w:val="36"/>
          <w:szCs w:val="36"/>
        </w:rPr>
        <w:t>第二部分  用户需求书</w:t>
      </w:r>
    </w:p>
    <w:bookmarkEnd w:id="1"/>
    <w:p>
      <w:pPr>
        <w:spacing w:line="360" w:lineRule="auto"/>
        <w:jc w:val="center"/>
        <w:rPr>
          <w:rFonts w:ascii="宋体" w:hAnsi="宋体" w:cs="宋体"/>
          <w:b/>
          <w:sz w:val="28"/>
          <w:szCs w:val="28"/>
        </w:rPr>
      </w:pPr>
      <w:r>
        <w:rPr>
          <w:rFonts w:hint="eastAsia" w:ascii="宋体" w:hAnsi="宋体" w:cs="宋体"/>
          <w:b/>
          <w:sz w:val="28"/>
          <w:szCs w:val="28"/>
        </w:rPr>
        <w:t>A.商务要求</w:t>
      </w:r>
      <w:bookmarkStart w:id="2" w:name="_Toc395258951"/>
    </w:p>
    <w:bookmarkEnd w:id="2"/>
    <w:p>
      <w:pPr>
        <w:tabs>
          <w:tab w:val="left" w:pos="3210"/>
        </w:tabs>
        <w:spacing w:line="360" w:lineRule="auto"/>
        <w:ind w:firstLine="422"/>
        <w:rPr>
          <w:rFonts w:ascii="宋体" w:hAnsi="宋体" w:cs="宋体"/>
          <w:b/>
          <w:szCs w:val="21"/>
        </w:rPr>
      </w:pPr>
      <w:bookmarkStart w:id="3" w:name="_Toc29932"/>
      <w:r>
        <w:rPr>
          <w:rFonts w:hint="eastAsia" w:ascii="宋体" w:hAnsi="宋体" w:cs="宋体"/>
          <w:b/>
          <w:szCs w:val="21"/>
        </w:rPr>
        <w:t>一、报价要求：</w:t>
      </w:r>
      <w:r>
        <w:rPr>
          <w:rFonts w:hint="eastAsia" w:ascii="宋体" w:hAnsi="宋体" w:cs="宋体"/>
          <w:szCs w:val="21"/>
        </w:rPr>
        <w:t>投标报价应为人民币含税全包价，包括</w:t>
      </w:r>
      <w:r>
        <w:rPr>
          <w:rFonts w:hint="eastAsia" w:ascii="宋体" w:hAnsi="宋体" w:cs="宋体"/>
        </w:rPr>
        <w:t>安装、</w:t>
      </w:r>
      <w:r>
        <w:rPr>
          <w:rFonts w:hint="eastAsia" w:ascii="宋体" w:hAnsi="宋体" w:cs="宋体"/>
          <w:szCs w:val="21"/>
        </w:rPr>
        <w:t>测试</w:t>
      </w:r>
      <w:r>
        <w:rPr>
          <w:rFonts w:hint="eastAsia" w:ascii="宋体" w:hAnsi="宋体" w:cs="宋体"/>
        </w:rPr>
        <w:t>、调试、培训、质保期（维护期）服务、各项税费及合同实施过程中不可预见费用等。</w:t>
      </w:r>
      <w:r>
        <w:rPr>
          <w:rFonts w:hint="eastAsia" w:ascii="宋体" w:hAnsi="宋体" w:cs="宋体"/>
          <w:b/>
          <w:szCs w:val="21"/>
        </w:rPr>
        <w:t>投标总报价不得高于</w:t>
      </w:r>
      <w:r>
        <w:rPr>
          <w:rFonts w:hint="eastAsia" w:ascii="宋体" w:hAnsi="宋体" w:cs="宋体"/>
          <w:b/>
          <w:bCs/>
          <w:szCs w:val="21"/>
        </w:rPr>
        <w:t>341363.51</w:t>
      </w:r>
      <w:r>
        <w:rPr>
          <w:rFonts w:hint="eastAsia" w:ascii="宋体" w:hAnsi="宋体"/>
          <w:b/>
          <w:bCs/>
        </w:rPr>
        <w:t>万</w:t>
      </w:r>
      <w:r>
        <w:rPr>
          <w:rFonts w:hint="eastAsia" w:ascii="宋体" w:hAnsi="宋体" w:cs="宋体"/>
          <w:b/>
          <w:szCs w:val="21"/>
        </w:rPr>
        <w:t>元人民币。（超出该上限的投标报价将作为无效投标处理）</w:t>
      </w:r>
    </w:p>
    <w:p>
      <w:pPr>
        <w:tabs>
          <w:tab w:val="left" w:pos="3210"/>
        </w:tabs>
        <w:spacing w:line="360" w:lineRule="auto"/>
        <w:ind w:firstLine="422"/>
        <w:rPr>
          <w:rFonts w:ascii="宋体" w:hAnsi="宋体" w:cs="宋体"/>
        </w:rPr>
      </w:pPr>
      <w:r>
        <w:rPr>
          <w:rFonts w:hint="eastAsia" w:ascii="宋体" w:hAnsi="宋体" w:cs="宋体"/>
          <w:b/>
          <w:szCs w:val="21"/>
          <w:lang w:val="zh-CN"/>
        </w:rPr>
        <w:t>二、项目基本要求：</w:t>
      </w:r>
      <w:r>
        <w:rPr>
          <w:rFonts w:hint="eastAsia" w:ascii="宋体" w:hAnsi="宋体" w:cs="宋体"/>
        </w:rPr>
        <w:t>成交供应商应保证产品或产品任何部分非他人所有或与他人共有，未设有抵押权、租赁权，未侵犯他人的专利权、版权、商标权等知识产权。一旦出现侵权，成交供应商应承担全部责任。成交供应商必须保证产品符合相关验收标准，并通过验收后，再移交采购人。</w:t>
      </w:r>
    </w:p>
    <w:bookmarkEnd w:id="3"/>
    <w:p>
      <w:pPr>
        <w:tabs>
          <w:tab w:val="left" w:pos="3210"/>
        </w:tabs>
        <w:spacing w:line="360" w:lineRule="auto"/>
        <w:ind w:firstLine="422"/>
        <w:rPr>
          <w:rFonts w:ascii="宋体" w:hAnsi="宋体" w:cs="宋体"/>
          <w:bCs/>
          <w:szCs w:val="21"/>
          <w:lang w:val="zh-CN"/>
        </w:rPr>
      </w:pPr>
      <w:bookmarkStart w:id="4" w:name="_Toc19957"/>
      <w:r>
        <w:rPr>
          <w:rFonts w:hint="eastAsia" w:ascii="宋体" w:hAnsi="宋体" w:cs="宋体"/>
          <w:b/>
          <w:szCs w:val="21"/>
          <w:lang w:val="zh-CN"/>
        </w:rPr>
        <w:t>三、完工期：</w:t>
      </w:r>
      <w:bookmarkEnd w:id="4"/>
      <w:r>
        <w:rPr>
          <w:rFonts w:hint="eastAsia" w:ascii="宋体" w:hAnsi="宋体" w:cs="宋体"/>
          <w:szCs w:val="21"/>
        </w:rPr>
        <w:t>合同签订生效后</w:t>
      </w:r>
      <w:r>
        <w:rPr>
          <w:rFonts w:hint="eastAsia" w:ascii="宋体" w:hAnsi="宋体" w:cs="宋体"/>
          <w:szCs w:val="21"/>
          <w:lang w:val="en-US" w:eastAsia="zh-CN"/>
        </w:rPr>
        <w:t>60</w:t>
      </w:r>
      <w:r>
        <w:rPr>
          <w:rFonts w:hint="eastAsia" w:ascii="宋体" w:hAnsi="宋体" w:cs="宋体"/>
          <w:szCs w:val="21"/>
        </w:rPr>
        <w:t>个日历天内完成</w:t>
      </w:r>
      <w:r>
        <w:rPr>
          <w:rFonts w:hint="eastAsia" w:ascii="宋体" w:hAnsi="宋体" w:cs="宋体"/>
          <w:bCs/>
          <w:szCs w:val="21"/>
          <w:lang w:val="zh-CN"/>
        </w:rPr>
        <w:t>。</w:t>
      </w:r>
    </w:p>
    <w:p>
      <w:pPr>
        <w:tabs>
          <w:tab w:val="left" w:pos="3210"/>
        </w:tabs>
        <w:spacing w:line="360" w:lineRule="auto"/>
        <w:ind w:firstLine="422"/>
        <w:rPr>
          <w:rFonts w:ascii="宋体" w:hAnsi="宋体" w:cs="宋体"/>
          <w:b/>
          <w:szCs w:val="21"/>
          <w:lang w:val="zh-CN"/>
        </w:rPr>
      </w:pPr>
      <w:bookmarkStart w:id="5" w:name="_Toc27849"/>
      <w:r>
        <w:rPr>
          <w:rFonts w:hint="eastAsia" w:ascii="宋体" w:hAnsi="宋体" w:cs="宋体"/>
          <w:b/>
          <w:szCs w:val="21"/>
          <w:lang w:val="zh-CN"/>
        </w:rPr>
        <w:t>四、服务地点：</w:t>
      </w:r>
      <w:bookmarkEnd w:id="5"/>
      <w:r>
        <w:rPr>
          <w:rFonts w:hint="eastAsia" w:ascii="宋体" w:hAnsi="宋体" w:cs="宋体"/>
          <w:szCs w:val="21"/>
        </w:rPr>
        <w:t>采购人指定地点</w:t>
      </w:r>
      <w:r>
        <w:rPr>
          <w:rFonts w:hint="eastAsia" w:ascii="宋体" w:hAnsi="宋体" w:cs="宋体"/>
          <w:bCs/>
          <w:szCs w:val="21"/>
          <w:lang w:val="zh-CN"/>
        </w:rPr>
        <w:t>。</w:t>
      </w:r>
    </w:p>
    <w:p>
      <w:pPr>
        <w:tabs>
          <w:tab w:val="left" w:pos="3210"/>
        </w:tabs>
        <w:spacing w:line="360" w:lineRule="auto"/>
        <w:ind w:firstLine="422"/>
        <w:rPr>
          <w:rFonts w:ascii="宋体" w:hAnsi="宋体" w:cs="宋体"/>
          <w:bCs/>
          <w:szCs w:val="21"/>
          <w:lang w:val="zh-CN"/>
        </w:rPr>
      </w:pPr>
      <w:r>
        <w:rPr>
          <w:rFonts w:hint="eastAsia" w:ascii="宋体" w:hAnsi="宋体" w:cs="宋体"/>
          <w:b/>
          <w:szCs w:val="21"/>
          <w:lang w:val="zh-CN"/>
        </w:rPr>
        <w:t>五、维护期：</w:t>
      </w:r>
      <w:r>
        <w:rPr>
          <w:rFonts w:hint="eastAsia" w:ascii="宋体" w:hAnsi="宋体" w:cs="宋体"/>
          <w:bCs/>
          <w:szCs w:val="21"/>
          <w:lang w:val="zh-CN"/>
        </w:rPr>
        <w:t>质保期为自项目终验收完成之日起</w:t>
      </w:r>
      <w:r>
        <w:rPr>
          <w:rFonts w:hint="eastAsia" w:ascii="宋体" w:hAnsi="宋体" w:cs="宋体"/>
          <w:bCs/>
          <w:szCs w:val="21"/>
        </w:rPr>
        <w:t>三</w:t>
      </w:r>
      <w:r>
        <w:rPr>
          <w:rFonts w:hint="eastAsia" w:ascii="宋体" w:hAnsi="宋体" w:cs="宋体"/>
          <w:bCs/>
          <w:szCs w:val="21"/>
          <w:lang w:val="zh-CN"/>
        </w:rPr>
        <w:t>年。</w:t>
      </w:r>
      <w:r>
        <w:rPr>
          <w:rFonts w:hint="eastAsia"/>
          <w:bCs/>
          <w:szCs w:val="21"/>
        </w:rPr>
        <w:t>成交供应商负责维护期内的免费升级服务，</w:t>
      </w:r>
      <w:r>
        <w:rPr>
          <w:rFonts w:hint="eastAsia" w:ascii="宋体" w:hAnsi="宋体" w:cs="宋体"/>
          <w:bCs/>
          <w:szCs w:val="21"/>
          <w:lang w:val="zh-CN"/>
        </w:rPr>
        <w:t>质保期、运维期内，出现故障，成交供应商须派出技术工程师到达现场处理故障，并承担一切费用。</w:t>
      </w:r>
    </w:p>
    <w:p>
      <w:pPr>
        <w:tabs>
          <w:tab w:val="left" w:pos="3210"/>
        </w:tabs>
        <w:spacing w:line="360" w:lineRule="auto"/>
        <w:ind w:firstLine="422"/>
        <w:rPr>
          <w:rFonts w:ascii="宋体" w:hAnsi="宋体" w:cs="宋体"/>
          <w:b/>
          <w:szCs w:val="21"/>
          <w:lang w:val="zh-CN"/>
        </w:rPr>
      </w:pPr>
      <w:bookmarkStart w:id="6" w:name="_Toc17774"/>
      <w:r>
        <w:rPr>
          <w:rFonts w:hint="eastAsia" w:ascii="宋体" w:hAnsi="宋体" w:cs="宋体"/>
          <w:b/>
          <w:szCs w:val="21"/>
          <w:lang w:val="zh-CN"/>
        </w:rPr>
        <w:t>六、付款方式：</w:t>
      </w:r>
      <w:bookmarkEnd w:id="6"/>
    </w:p>
    <w:p>
      <w:pPr>
        <w:spacing w:line="360" w:lineRule="auto"/>
        <w:ind w:firstLine="420"/>
        <w:rPr>
          <w:rFonts w:ascii="宋体" w:hAnsi="宋体" w:cs="宋体"/>
        </w:rPr>
      </w:pPr>
      <w:bookmarkStart w:id="7" w:name="_Toc30787_WPSOffice_Level1"/>
      <w:bookmarkStart w:id="8" w:name="_Toc17232"/>
      <w:r>
        <w:rPr>
          <w:rFonts w:hint="eastAsia" w:ascii="宋体" w:hAnsi="宋体" w:cs="宋体"/>
        </w:rPr>
        <w:t>合同签订后，采购人向供应商支付合同金额30%，</w:t>
      </w:r>
      <w:r>
        <w:rPr>
          <w:rFonts w:hint="eastAsia" w:ascii="宋体" w:hAnsi="宋体" w:cs="宋体"/>
          <w:lang w:eastAsia="zh-CN"/>
        </w:rPr>
        <w:t>供应商开始进场实施，</w:t>
      </w:r>
      <w:r>
        <w:rPr>
          <w:rFonts w:hint="eastAsia" w:ascii="宋体" w:hAnsi="宋体" w:cs="宋体"/>
          <w:lang w:val="en-US" w:eastAsia="zh-CN"/>
        </w:rPr>
        <w:t>30个日历天内完成设备（软硬件）进场，采购人清点设备无误后向供应商支付合同金额40%。签合签订后6</w:t>
      </w:r>
      <w:r>
        <w:rPr>
          <w:rFonts w:hint="eastAsia" w:ascii="宋体" w:hAnsi="宋体" w:cs="宋体"/>
        </w:rPr>
        <w:t>0个日历天内</w:t>
      </w:r>
      <w:r>
        <w:rPr>
          <w:rFonts w:hint="eastAsia" w:ascii="宋体" w:hAnsi="宋体" w:cs="宋体"/>
          <w:lang w:eastAsia="zh-CN"/>
        </w:rPr>
        <w:t>，供应商</w:t>
      </w:r>
      <w:r>
        <w:rPr>
          <w:rFonts w:hint="eastAsia" w:ascii="宋体" w:hAnsi="宋体" w:cs="宋体"/>
        </w:rPr>
        <w:t>完成</w:t>
      </w:r>
      <w:r>
        <w:rPr>
          <w:rFonts w:hint="eastAsia" w:ascii="宋体" w:hAnsi="宋体" w:cs="宋体"/>
          <w:lang w:eastAsia="zh-CN"/>
        </w:rPr>
        <w:t>实施并</w:t>
      </w:r>
      <w:r>
        <w:rPr>
          <w:rFonts w:hint="eastAsia" w:ascii="宋体" w:hAnsi="宋体" w:cs="宋体"/>
        </w:rPr>
        <w:t>交付验收（供应商提供验收报告由采购人盖章）</w:t>
      </w:r>
      <w:r>
        <w:rPr>
          <w:rFonts w:hint="eastAsia" w:ascii="宋体" w:hAnsi="宋体" w:cs="宋体"/>
          <w:lang w:eastAsia="zh-CN"/>
        </w:rPr>
        <w:t>，</w:t>
      </w:r>
      <w:r>
        <w:rPr>
          <w:rFonts w:hint="eastAsia" w:ascii="宋体" w:hAnsi="宋体" w:cs="宋体"/>
        </w:rPr>
        <w:t>验收合格后采购人向成交供应商支付合同金额</w:t>
      </w:r>
      <w:r>
        <w:rPr>
          <w:rFonts w:hint="eastAsia" w:ascii="宋体" w:hAnsi="宋体" w:cs="宋体"/>
          <w:lang w:val="en-US" w:eastAsia="zh-CN"/>
        </w:rPr>
        <w:t>25</w:t>
      </w:r>
      <w:r>
        <w:rPr>
          <w:rFonts w:hint="eastAsia" w:ascii="宋体" w:hAnsi="宋体" w:cs="宋体"/>
        </w:rPr>
        <w:t>%</w:t>
      </w:r>
      <w:r>
        <w:rPr>
          <w:rFonts w:hint="eastAsia" w:ascii="宋体" w:hAnsi="宋体" w:cs="宋体"/>
          <w:lang w:eastAsia="zh-CN"/>
        </w:rPr>
        <w:t>。</w:t>
      </w:r>
      <w:r>
        <w:rPr>
          <w:rFonts w:hint="eastAsia" w:ascii="宋体" w:hAnsi="宋体" w:cs="宋体"/>
        </w:rPr>
        <w:t>验收合格后一年内，采购人向供应商合同金额的5%。成交供应商凭以下有效文件与采购人结算：</w:t>
      </w:r>
    </w:p>
    <w:p>
      <w:pPr>
        <w:spacing w:line="360" w:lineRule="auto"/>
        <w:ind w:firstLine="420"/>
        <w:rPr>
          <w:rFonts w:ascii="宋体" w:hAnsi="宋体" w:cs="宋体"/>
        </w:rPr>
      </w:pPr>
      <w:r>
        <w:rPr>
          <w:rFonts w:hint="eastAsia" w:ascii="宋体" w:hAnsi="宋体" w:cs="宋体"/>
        </w:rPr>
        <w:t>1、合同；</w:t>
      </w:r>
    </w:p>
    <w:p>
      <w:pPr>
        <w:spacing w:line="360" w:lineRule="auto"/>
        <w:ind w:firstLine="420"/>
        <w:rPr>
          <w:rFonts w:ascii="宋体" w:hAnsi="宋体" w:cs="宋体"/>
        </w:rPr>
      </w:pPr>
      <w:r>
        <w:rPr>
          <w:rFonts w:hint="eastAsia" w:ascii="宋体" w:hAnsi="宋体" w:cs="宋体"/>
        </w:rPr>
        <w:t>2、成交供应商开具的正式发票；</w:t>
      </w:r>
    </w:p>
    <w:p>
      <w:pPr>
        <w:spacing w:line="360" w:lineRule="auto"/>
        <w:ind w:firstLine="420"/>
        <w:rPr>
          <w:rFonts w:ascii="宋体" w:hAnsi="宋体" w:cs="宋体"/>
        </w:rPr>
      </w:pPr>
      <w:r>
        <w:rPr>
          <w:rFonts w:hint="eastAsia" w:ascii="宋体" w:hAnsi="宋体" w:cs="宋体"/>
        </w:rPr>
        <w:t>3、中标公告。</w:t>
      </w:r>
    </w:p>
    <w:p>
      <w:pPr>
        <w:spacing w:line="360" w:lineRule="auto"/>
        <w:ind w:firstLine="422"/>
        <w:outlineLvl w:val="0"/>
        <w:rPr>
          <w:rFonts w:ascii="宋体" w:hAnsi="宋体" w:cs="宋体"/>
          <w:b/>
          <w:bCs/>
        </w:rPr>
      </w:pPr>
      <w:r>
        <w:rPr>
          <w:rFonts w:hint="eastAsia" w:ascii="宋体" w:hAnsi="宋体" w:cs="宋体"/>
          <w:b/>
          <w:bCs/>
        </w:rPr>
        <w:t>七、项目实施、验收</w:t>
      </w:r>
      <w:bookmarkEnd w:id="7"/>
    </w:p>
    <w:p>
      <w:pPr>
        <w:spacing w:line="360" w:lineRule="auto"/>
        <w:ind w:firstLine="420"/>
        <w:rPr>
          <w:rFonts w:ascii="宋体" w:hAnsi="宋体" w:cs="宋体"/>
        </w:rPr>
      </w:pPr>
      <w:r>
        <w:rPr>
          <w:rFonts w:hint="eastAsia" w:ascii="宋体" w:hAnsi="宋体" w:cs="宋体"/>
        </w:rPr>
        <w:t>1、项目实施管理</w:t>
      </w:r>
    </w:p>
    <w:p>
      <w:pPr>
        <w:spacing w:line="360" w:lineRule="auto"/>
        <w:ind w:firstLine="420"/>
        <w:rPr>
          <w:rFonts w:ascii="宋体" w:hAnsi="宋体" w:cs="宋体"/>
        </w:rPr>
      </w:pPr>
      <w:r>
        <w:rPr>
          <w:rFonts w:hint="eastAsia" w:ascii="宋体" w:hAnsi="宋体" w:cs="宋体"/>
        </w:rPr>
        <w:t>供应商须具有成熟实施能力，并且提出有效的实施方案。项目主要开发人员需具有承担过相关系统软件开发经验，能够与用户进行良好的沟通，要熟悉系统开发架构。</w:t>
      </w:r>
    </w:p>
    <w:p>
      <w:pPr>
        <w:spacing w:line="360" w:lineRule="auto"/>
        <w:ind w:firstLine="420"/>
        <w:rPr>
          <w:rFonts w:ascii="宋体" w:hAnsi="宋体" w:cs="宋体"/>
        </w:rPr>
      </w:pPr>
      <w:r>
        <w:rPr>
          <w:rFonts w:hint="eastAsia" w:ascii="宋体" w:hAnsi="宋体" w:cs="宋体"/>
        </w:rPr>
        <w:t>供应商应在项目实施过程中，承诺做到：</w:t>
      </w:r>
    </w:p>
    <w:p>
      <w:pPr>
        <w:spacing w:line="360" w:lineRule="auto"/>
        <w:ind w:firstLine="420"/>
        <w:rPr>
          <w:rFonts w:ascii="宋体" w:hAnsi="宋体" w:cs="宋体"/>
        </w:rPr>
      </w:pPr>
      <w:bookmarkStart w:id="9" w:name="_Toc8305_WPSOffice_Level2"/>
      <w:r>
        <w:rPr>
          <w:rFonts w:hint="eastAsia" w:ascii="宋体" w:hAnsi="宋体" w:cs="宋体"/>
        </w:rPr>
        <w:t>（一）根据项目进展及时向采购人报审进度文档。</w:t>
      </w:r>
      <w:bookmarkEnd w:id="9"/>
    </w:p>
    <w:p>
      <w:pPr>
        <w:spacing w:line="360" w:lineRule="auto"/>
        <w:ind w:firstLine="420"/>
        <w:rPr>
          <w:rFonts w:ascii="宋体" w:hAnsi="宋体" w:cs="宋体"/>
        </w:rPr>
      </w:pPr>
      <w:bookmarkStart w:id="10" w:name="_Toc30787_WPSOffice_Level2"/>
      <w:r>
        <w:rPr>
          <w:rFonts w:hint="eastAsia" w:ascii="宋体" w:hAnsi="宋体" w:cs="宋体"/>
        </w:rPr>
        <w:t>（二）系统开发基于服务提供的应用支撑平台。</w:t>
      </w:r>
      <w:bookmarkEnd w:id="10"/>
    </w:p>
    <w:p>
      <w:pPr>
        <w:spacing w:line="360" w:lineRule="auto"/>
        <w:ind w:firstLine="420"/>
        <w:rPr>
          <w:rFonts w:ascii="宋体" w:hAnsi="宋体" w:cs="宋体"/>
        </w:rPr>
      </w:pPr>
      <w:bookmarkStart w:id="11" w:name="_Toc22336_WPSOffice_Level2"/>
      <w:r>
        <w:rPr>
          <w:rFonts w:hint="eastAsia" w:ascii="宋体" w:hAnsi="宋体" w:cs="宋体"/>
        </w:rPr>
        <w:t>（三）系统设计必须满足的相应标准规范。</w:t>
      </w:r>
      <w:bookmarkEnd w:id="11"/>
    </w:p>
    <w:p>
      <w:pPr>
        <w:spacing w:line="360" w:lineRule="auto"/>
        <w:ind w:firstLine="420"/>
        <w:rPr>
          <w:rFonts w:ascii="宋体" w:hAnsi="宋体" w:cs="宋体"/>
        </w:rPr>
      </w:pPr>
      <w:r>
        <w:rPr>
          <w:rFonts w:hint="eastAsia" w:ascii="宋体" w:hAnsi="宋体" w:cs="宋体"/>
        </w:rPr>
        <w:t>2、试运行及验收</w:t>
      </w:r>
    </w:p>
    <w:p>
      <w:pPr>
        <w:spacing w:line="360" w:lineRule="auto"/>
        <w:ind w:firstLine="420"/>
        <w:rPr>
          <w:rFonts w:ascii="宋体" w:hAnsi="宋体" w:cs="宋体"/>
        </w:rPr>
      </w:pPr>
      <w:r>
        <w:rPr>
          <w:rFonts w:hint="eastAsia" w:ascii="宋体" w:hAnsi="宋体" w:cs="宋体"/>
        </w:rPr>
        <w:t>成交供应商应按软件项目整体验收要求和验收流程完成验收准备，应协助完成整体验收。</w:t>
      </w:r>
    </w:p>
    <w:p>
      <w:pPr>
        <w:spacing w:line="360" w:lineRule="auto"/>
        <w:ind w:firstLine="420"/>
        <w:rPr>
          <w:rFonts w:ascii="宋体" w:hAnsi="宋体" w:cs="宋体"/>
        </w:rPr>
      </w:pPr>
      <w:r>
        <w:rPr>
          <w:rFonts w:hint="eastAsia" w:ascii="宋体" w:hAnsi="宋体" w:cs="宋体"/>
        </w:rPr>
        <w:t>（1）试运行：项目中各子系统并行开发，每个子系统完成研发及测试工作后，交采购人试运行，分批完成系统试运行。</w:t>
      </w:r>
    </w:p>
    <w:p>
      <w:pPr>
        <w:spacing w:line="360" w:lineRule="auto"/>
        <w:ind w:firstLine="420"/>
        <w:rPr>
          <w:rFonts w:ascii="宋体" w:hAnsi="宋体" w:cs="宋体"/>
        </w:rPr>
      </w:pPr>
      <w:r>
        <w:rPr>
          <w:rFonts w:hint="eastAsia" w:ascii="宋体" w:hAnsi="宋体" w:cs="宋体"/>
        </w:rPr>
        <w:t>（2）合同验收：成交供应商在60个日历天内完成系统的交付，再由成交供应商提出验收申请，由采购人根据本系统总体设计的要求，从系统功能、性能，文档等几方面进行验收。</w:t>
      </w:r>
    </w:p>
    <w:p>
      <w:pPr>
        <w:spacing w:line="360" w:lineRule="auto"/>
        <w:ind w:firstLine="420"/>
        <w:rPr>
          <w:rFonts w:ascii="宋体" w:hAnsi="宋体" w:cs="宋体"/>
        </w:rPr>
      </w:pPr>
      <w:r>
        <w:rPr>
          <w:rFonts w:hint="eastAsia" w:ascii="宋体" w:hAnsi="宋体" w:cs="宋体"/>
        </w:rPr>
        <w:t>（3）验收标准：以《合同》《采购文件》《报价方案》《系统需求规格说明书》为依据，供应商根据项目验收标准完成相应工作并保障所开发系统无故障运行并经采购人确认，由采购人按照技术方案和有关规定组织验收。</w:t>
      </w:r>
    </w:p>
    <w:p>
      <w:pPr>
        <w:spacing w:line="360" w:lineRule="auto"/>
        <w:ind w:firstLine="420"/>
        <w:rPr>
          <w:rFonts w:ascii="宋体" w:hAnsi="宋体" w:cs="宋体"/>
        </w:rPr>
      </w:pPr>
      <w:r>
        <w:rPr>
          <w:rFonts w:hint="eastAsia" w:ascii="宋体" w:hAnsi="宋体" w:cs="宋体"/>
        </w:rPr>
        <w:t>（4）移交与本项目有关的相关技术资料，包括文档资料和程序等。</w:t>
      </w:r>
    </w:p>
    <w:p>
      <w:pPr>
        <w:tabs>
          <w:tab w:val="left" w:pos="3210"/>
        </w:tabs>
        <w:spacing w:line="360" w:lineRule="auto"/>
        <w:ind w:firstLine="422"/>
        <w:rPr>
          <w:rFonts w:ascii="宋体" w:hAnsi="宋体" w:cs="宋体"/>
          <w:b/>
          <w:szCs w:val="21"/>
          <w:lang w:val="zh-CN"/>
        </w:rPr>
      </w:pPr>
      <w:r>
        <w:rPr>
          <w:rFonts w:hint="eastAsia" w:ascii="宋体" w:hAnsi="宋体" w:cs="宋体"/>
          <w:b/>
          <w:szCs w:val="21"/>
          <w:lang w:val="zh-CN"/>
        </w:rPr>
        <w:t>八、</w:t>
      </w:r>
      <w:bookmarkEnd w:id="8"/>
      <w:r>
        <w:rPr>
          <w:rFonts w:hint="eastAsia" w:ascii="宋体" w:hAnsi="宋体" w:cs="宋体"/>
          <w:b/>
          <w:szCs w:val="21"/>
          <w:lang w:val="zh-CN"/>
        </w:rPr>
        <w:t>售后服务</w:t>
      </w:r>
    </w:p>
    <w:p>
      <w:pPr>
        <w:spacing w:line="360" w:lineRule="auto"/>
        <w:ind w:firstLine="420"/>
        <w:rPr>
          <w:rFonts w:ascii="宋体" w:hAnsi="宋体" w:cs="宋体"/>
        </w:rPr>
      </w:pPr>
      <w:r>
        <w:rPr>
          <w:rFonts w:hint="eastAsia" w:ascii="宋体" w:hAnsi="宋体" w:cs="宋体"/>
        </w:rPr>
        <w:t>1、售后服务依据</w:t>
      </w:r>
    </w:p>
    <w:p>
      <w:pPr>
        <w:spacing w:line="360" w:lineRule="auto"/>
        <w:ind w:firstLine="420"/>
        <w:rPr>
          <w:rFonts w:ascii="宋体" w:hAnsi="宋体" w:cs="宋体"/>
        </w:rPr>
      </w:pPr>
      <w:r>
        <w:rPr>
          <w:rFonts w:hint="eastAsia" w:ascii="宋体" w:hAnsi="宋体" w:cs="宋体"/>
        </w:rPr>
        <w:t>以《合同》《采购文件》《报价方案》《系统需求规格说明书》为依据，在系统验收交付后，三年内成交供应商对项目需求范围内提供免费修复、整改与开发支持。</w:t>
      </w:r>
    </w:p>
    <w:p>
      <w:pPr>
        <w:spacing w:line="360" w:lineRule="auto"/>
        <w:ind w:firstLine="420"/>
        <w:rPr>
          <w:rFonts w:ascii="宋体" w:hAnsi="宋体" w:cs="宋体"/>
        </w:rPr>
      </w:pPr>
      <w:r>
        <w:rPr>
          <w:rFonts w:hint="eastAsia" w:ascii="宋体" w:hAnsi="宋体" w:cs="宋体"/>
        </w:rPr>
        <w:t>2、售后服务内容：项目需求范围内的系统问题、异常与缺陷的开发支持。</w:t>
      </w:r>
    </w:p>
    <w:p>
      <w:pPr>
        <w:spacing w:line="360" w:lineRule="auto"/>
        <w:ind w:firstLine="420"/>
        <w:jc w:val="left"/>
        <w:outlineLvl w:val="0"/>
        <w:rPr>
          <w:rFonts w:ascii="宋体" w:hAnsi="宋体" w:cs="宋体"/>
          <w:bCs/>
          <w:szCs w:val="21"/>
          <w:lang w:val="zh-CN"/>
        </w:rPr>
      </w:pPr>
      <w:r>
        <w:rPr>
          <w:rFonts w:hint="eastAsia" w:ascii="宋体" w:hAnsi="宋体" w:cs="宋体"/>
          <w:bCs/>
          <w:szCs w:val="21"/>
        </w:rPr>
        <w:t>3、</w:t>
      </w:r>
      <w:r>
        <w:rPr>
          <w:rFonts w:hint="eastAsia" w:ascii="宋体" w:hAnsi="宋体" w:cs="宋体"/>
          <w:bCs/>
          <w:szCs w:val="21"/>
          <w:lang w:val="zh-CN"/>
        </w:rPr>
        <w:t>供应商要提供远程技术服务和现场技术服务。远程技术服务以电话、传真、Email等方式提供7*24小时响应。如采购人需要提供现场技术服务，</w:t>
      </w:r>
      <w:r>
        <w:rPr>
          <w:rFonts w:hint="eastAsia" w:ascii="宋体" w:hAnsi="宋体" w:cs="宋体"/>
        </w:rPr>
        <w:t>在4小时内</w:t>
      </w:r>
      <w:r>
        <w:rPr>
          <w:rFonts w:hint="eastAsia" w:ascii="宋体" w:hAnsi="宋体" w:cs="宋体"/>
          <w:bCs/>
          <w:szCs w:val="21"/>
          <w:lang w:val="zh-CN"/>
        </w:rPr>
        <w:t>安排技术工程师到达用户方现场提供现场技术服务。对于不能及时修复的运行服务，系统商负责提供妥当的服务转移，以使整个软件系统能够提供不间断的服务并在24个小时内予以解决。</w:t>
      </w:r>
    </w:p>
    <w:p>
      <w:pPr>
        <w:spacing w:line="360" w:lineRule="auto"/>
        <w:ind w:firstLine="420"/>
        <w:jc w:val="center"/>
        <w:outlineLvl w:val="0"/>
        <w:rPr>
          <w:rFonts w:ascii="宋体" w:hAnsi="宋体" w:cs="宋体"/>
          <w:b/>
          <w:bCs/>
          <w:sz w:val="44"/>
          <w:szCs w:val="44"/>
        </w:rPr>
      </w:pPr>
      <w:r>
        <w:rPr>
          <w:rFonts w:hint="eastAsia" w:ascii="宋体" w:hAnsi="宋体" w:cs="宋体"/>
          <w:b/>
          <w:sz w:val="28"/>
          <w:szCs w:val="28"/>
        </w:rPr>
        <w:t>B.技术要求</w:t>
      </w:r>
    </w:p>
    <w:p>
      <w:pPr>
        <w:ind w:firstLine="422" w:firstLineChars="200"/>
        <w:rPr>
          <w:b/>
          <w:color w:val="000000" w:themeColor="text1"/>
        </w:rPr>
      </w:pPr>
      <w:r>
        <w:rPr>
          <w:rFonts w:hint="eastAsia"/>
          <w:b/>
          <w:color w:val="000000" w:themeColor="text1"/>
        </w:rPr>
        <w:t>1、</w:t>
      </w:r>
      <w:r>
        <w:rPr>
          <w:rFonts w:hint="eastAsia" w:ascii="宋体" w:hAnsi="宋体" w:cs="宋体"/>
          <w:b/>
          <w:color w:val="000000" w:themeColor="text1"/>
        </w:rPr>
        <w:t>★</w:t>
      </w:r>
      <w:r>
        <w:rPr>
          <w:b/>
          <w:color w:val="000000" w:themeColor="text1"/>
        </w:rPr>
        <w:t>投标文件的响应内容均真实有效，且按原厂商设备参数进行响应，不存在虚假响应内容或设备技术指标前后参数响应矛盾的情况，否则将被视为无法实质性响应招标文件而作废标处理。对招标需求中的所有条款，投标人如在投标时承诺满足，但中标后发现有虚假响应，即事实上不能满足的，采购人将取消投标人的中标资格。</w:t>
      </w:r>
    </w:p>
    <w:p>
      <w:pPr>
        <w:ind w:firstLine="420" w:firstLineChars="200"/>
        <w:rPr>
          <w:color w:val="000000" w:themeColor="text1"/>
        </w:rPr>
      </w:pPr>
      <w:r>
        <w:rPr>
          <w:rFonts w:hint="eastAsia"/>
          <w:color w:val="000000" w:themeColor="text1"/>
        </w:rPr>
        <w:t>2、招标需求中标注有“★”号的条款必须实质性响应，负偏离（不满足要求）将导致投标无效。</w:t>
      </w:r>
    </w:p>
    <w:p>
      <w:pPr>
        <w:ind w:firstLine="420" w:firstLineChars="200"/>
        <w:rPr>
          <w:color w:val="000000" w:themeColor="text1"/>
        </w:rPr>
      </w:pPr>
      <w:r>
        <w:rPr>
          <w:rFonts w:hint="eastAsia"/>
          <w:color w:val="000000" w:themeColor="text1"/>
        </w:rPr>
        <w:t>3、招标需求中标注有“▲”的条款为重要条款，要求投标人提交相关证明材料，如没有证明材料或专家认定证明材料无效的，该条款视为不满足，采购人有权取消投标人的中标资格。</w:t>
      </w:r>
    </w:p>
    <w:p>
      <w:pPr>
        <w:ind w:firstLine="422" w:firstLineChars="200"/>
        <w:rPr>
          <w:color w:val="000000" w:themeColor="text1"/>
        </w:rPr>
      </w:pPr>
      <w:r>
        <w:rPr>
          <w:rFonts w:hint="eastAsia" w:ascii="宋体" w:hAnsi="宋体" w:cs="宋体"/>
          <w:b/>
          <w:color w:val="000000" w:themeColor="text1"/>
        </w:rPr>
        <w:t>★</w:t>
      </w:r>
      <w:r>
        <w:rPr>
          <w:rFonts w:hint="eastAsia"/>
          <w:color w:val="000000" w:themeColor="text1"/>
        </w:rPr>
        <w:t>4、对招标需求中的所有条款，投标人如在投标时承诺满足，但中标后发现有虚假响应，采购人有权邀请第三方机构对招标需求中的所有条款进行逐一验证，所产生费用由投标人承担，即事实上不能满足的，采购人有权取消投标人的中标资格。</w:t>
      </w:r>
    </w:p>
    <w:p>
      <w:pPr>
        <w:pStyle w:val="4"/>
        <w:numPr>
          <w:ilvl w:val="1"/>
          <w:numId w:val="0"/>
        </w:numPr>
        <w:spacing w:line="360" w:lineRule="auto"/>
        <w:ind w:left="576" w:hanging="576"/>
        <w:rPr>
          <w:color w:val="000000" w:themeColor="text1"/>
        </w:rPr>
      </w:pPr>
      <w:r>
        <w:rPr>
          <w:rFonts w:hint="eastAsia"/>
          <w:color w:val="000000" w:themeColor="text1"/>
        </w:rPr>
        <w:t>采购产品清单</w:t>
      </w:r>
    </w:p>
    <w:tbl>
      <w:tblPr>
        <w:tblStyle w:val="10"/>
        <w:tblW w:w="49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966"/>
        <w:gridCol w:w="1190"/>
        <w:gridCol w:w="1770"/>
        <w:gridCol w:w="2895"/>
        <w:gridCol w:w="562"/>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370" w:type="pct"/>
            <w:shd w:val="clear" w:color="000000" w:fill="969696"/>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序号</w:t>
            </w:r>
          </w:p>
        </w:tc>
        <w:tc>
          <w:tcPr>
            <w:tcW w:w="569" w:type="pct"/>
            <w:shd w:val="clear" w:color="000000" w:fill="969696"/>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产品名称</w:t>
            </w:r>
          </w:p>
        </w:tc>
        <w:tc>
          <w:tcPr>
            <w:tcW w:w="701" w:type="pct"/>
            <w:shd w:val="clear" w:color="000000" w:fill="969696"/>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组件</w:t>
            </w:r>
          </w:p>
        </w:tc>
        <w:tc>
          <w:tcPr>
            <w:tcW w:w="1042" w:type="pct"/>
            <w:shd w:val="clear" w:color="000000" w:fill="969696"/>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品牌型号</w:t>
            </w:r>
          </w:p>
        </w:tc>
        <w:tc>
          <w:tcPr>
            <w:tcW w:w="1705" w:type="pct"/>
            <w:shd w:val="clear" w:color="000000" w:fill="969696"/>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描述</w:t>
            </w:r>
          </w:p>
        </w:tc>
        <w:tc>
          <w:tcPr>
            <w:tcW w:w="331" w:type="pct"/>
            <w:shd w:val="clear" w:color="000000" w:fill="969696"/>
            <w:vAlign w:val="center"/>
          </w:tcPr>
          <w:p>
            <w:pPr>
              <w:widowControl/>
              <w:rPr>
                <w:rFonts w:ascii="宋体" w:hAnsi="宋体" w:cs="宋体"/>
                <w:b/>
                <w:bCs/>
                <w:color w:val="000000" w:themeColor="text1"/>
                <w:kern w:val="0"/>
                <w:szCs w:val="21"/>
              </w:rPr>
            </w:pPr>
            <w:r>
              <w:rPr>
                <w:rFonts w:hint="eastAsia" w:ascii="宋体" w:hAnsi="宋体" w:cs="宋体"/>
                <w:b/>
                <w:bCs/>
                <w:color w:val="000000" w:themeColor="text1"/>
                <w:kern w:val="0"/>
                <w:szCs w:val="21"/>
              </w:rPr>
              <w:t>数量</w:t>
            </w:r>
          </w:p>
        </w:tc>
        <w:tc>
          <w:tcPr>
            <w:tcW w:w="279" w:type="pct"/>
            <w:shd w:val="clear" w:color="000000" w:fill="969696"/>
            <w:vAlign w:val="center"/>
          </w:tcPr>
          <w:p>
            <w:pPr>
              <w:rPr>
                <w:rFonts w:ascii="宋体" w:hAnsi="宋体" w:cs="宋体"/>
                <w:b/>
                <w:bCs/>
                <w:color w:val="000000" w:themeColor="text1"/>
                <w:kern w:val="0"/>
                <w:szCs w:val="21"/>
              </w:rPr>
            </w:pPr>
            <w:r>
              <w:rPr>
                <w:rFonts w:hint="eastAsia" w:ascii="宋体" w:hAnsi="宋体" w:cs="宋体"/>
                <w:b/>
                <w:bCs/>
                <w:color w:val="000000" w:themeColor="text1"/>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70" w:type="pct"/>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569" w:type="pct"/>
            <w:vMerge w:val="restar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数据安全交换中间机系统</w:t>
            </w:r>
          </w:p>
        </w:tc>
        <w:tc>
          <w:tcPr>
            <w:tcW w:w="701"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硬件（台式机） </w:t>
            </w:r>
          </w:p>
        </w:tc>
        <w:tc>
          <w:tcPr>
            <w:tcW w:w="1042"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kern w:val="0"/>
                <w:szCs w:val="21"/>
              </w:rPr>
              <w:t>可选：长城世恒KF510，联想开天S720Z，超越申泰DT3000-F，浪潮英政CE2110G1。</w:t>
            </w:r>
          </w:p>
        </w:tc>
        <w:tc>
          <w:tcPr>
            <w:tcW w:w="1705"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自主可控国产化方案 ，配置飞腾FT-1500A  1.5GHz 4核处理器、8G内存,</w:t>
            </w:r>
            <w:r>
              <w:rPr>
                <w:color w:val="000000" w:themeColor="text1"/>
              </w:rPr>
              <w:t xml:space="preserve"> </w:t>
            </w:r>
            <w:r>
              <w:rPr>
                <w:rFonts w:ascii="宋体" w:hAnsi="宋体" w:cs="宋体"/>
                <w:color w:val="000000" w:themeColor="text1"/>
                <w:kern w:val="0"/>
                <w:szCs w:val="21"/>
              </w:rPr>
              <w:t>240GB</w:t>
            </w:r>
            <w:r>
              <w:rPr>
                <w:rFonts w:hint="eastAsia" w:ascii="宋体" w:hAnsi="宋体" w:cs="宋体"/>
                <w:color w:val="000000" w:themeColor="text1"/>
                <w:kern w:val="0"/>
                <w:szCs w:val="21"/>
              </w:rPr>
              <w:t>硬盘，1G独立显卡，21寸以上显示器，提供3年整机质保，符合国产保密要求。</w:t>
            </w:r>
          </w:p>
          <w:p>
            <w:pPr>
              <w:widowControl/>
              <w:rPr>
                <w:rFonts w:ascii="宋体" w:hAnsi="宋体" w:cs="宋体"/>
                <w:color w:val="000000" w:themeColor="text1"/>
                <w:kern w:val="0"/>
                <w:szCs w:val="21"/>
              </w:rPr>
            </w:pPr>
            <w:r>
              <w:rPr>
                <w:rFonts w:hint="eastAsia" w:ascii="宋体" w:hAnsi="宋体" w:cs="宋体"/>
                <w:color w:val="000000" w:themeColor="text1"/>
                <w:kern w:val="0"/>
                <w:szCs w:val="21"/>
              </w:rPr>
              <w:t>详细参数要求见“2.3.1中间机硬件配置要求”章节描述。</w:t>
            </w:r>
          </w:p>
        </w:tc>
        <w:tc>
          <w:tcPr>
            <w:tcW w:w="331" w:type="pct"/>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c>
          <w:tcPr>
            <w:tcW w:w="279" w:type="pct"/>
            <w:shd w:val="clear" w:color="auto" w:fill="auto"/>
            <w:vAlign w:val="center"/>
          </w:tcPr>
          <w:p>
            <w:pPr>
              <w:widowControl/>
              <w:ind w:right="840"/>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70" w:type="pct"/>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569" w:type="pct"/>
            <w:vMerge w:val="continue"/>
            <w:vAlign w:val="center"/>
          </w:tcPr>
          <w:p>
            <w:pPr>
              <w:widowControl/>
              <w:jc w:val="left"/>
              <w:rPr>
                <w:rFonts w:ascii="宋体" w:hAnsi="宋体" w:cs="宋体"/>
                <w:color w:val="000000" w:themeColor="text1"/>
                <w:kern w:val="0"/>
                <w:szCs w:val="21"/>
              </w:rPr>
            </w:pPr>
          </w:p>
        </w:tc>
        <w:tc>
          <w:tcPr>
            <w:tcW w:w="701" w:type="pct"/>
            <w:shd w:val="clear" w:color="auto" w:fill="auto"/>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操作</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系统 </w:t>
            </w:r>
          </w:p>
        </w:tc>
        <w:tc>
          <w:tcPr>
            <w:tcW w:w="1042"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银河麒麟</w:t>
            </w:r>
          </w:p>
        </w:tc>
        <w:tc>
          <w:tcPr>
            <w:tcW w:w="1705"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银河麒麟V4.0.2系统正版授权。</w:t>
            </w:r>
          </w:p>
        </w:tc>
        <w:tc>
          <w:tcPr>
            <w:tcW w:w="331" w:type="pct"/>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c>
          <w:tcPr>
            <w:tcW w:w="279" w:type="pct"/>
            <w:shd w:val="clear" w:color="auto" w:fill="auto"/>
            <w:vAlign w:val="center"/>
          </w:tcPr>
          <w:p>
            <w:pPr>
              <w:widowControl/>
              <w:ind w:right="840"/>
              <w:rPr>
                <w:rFonts w:ascii="宋体" w:hAnsi="宋体" w:cs="宋体"/>
                <w:color w:val="000000" w:themeColor="text1"/>
                <w:kern w:val="0"/>
                <w:szCs w:val="21"/>
              </w:rPr>
            </w:pPr>
            <w:r>
              <w:rPr>
                <w:rFonts w:hint="eastAsia" w:ascii="宋体" w:hAnsi="宋体" w:cs="宋体"/>
                <w:color w:val="000000" w:themeColor="text1"/>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70" w:type="pct"/>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569" w:type="pct"/>
            <w:vMerge w:val="continue"/>
            <w:vAlign w:val="center"/>
          </w:tcPr>
          <w:p>
            <w:pPr>
              <w:widowControl/>
              <w:jc w:val="left"/>
              <w:rPr>
                <w:rFonts w:ascii="宋体" w:hAnsi="宋体" w:cs="宋体"/>
                <w:color w:val="000000" w:themeColor="text1"/>
                <w:kern w:val="0"/>
                <w:szCs w:val="21"/>
              </w:rPr>
            </w:pPr>
          </w:p>
        </w:tc>
        <w:tc>
          <w:tcPr>
            <w:tcW w:w="701"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防病毒</w:t>
            </w:r>
          </w:p>
          <w:p>
            <w:pPr>
              <w:widowControl/>
              <w:rPr>
                <w:rFonts w:ascii="宋体" w:hAnsi="宋体" w:cs="宋体"/>
                <w:color w:val="000000" w:themeColor="text1"/>
                <w:kern w:val="0"/>
                <w:szCs w:val="21"/>
              </w:rPr>
            </w:pPr>
            <w:r>
              <w:rPr>
                <w:rFonts w:hint="eastAsia" w:ascii="宋体" w:hAnsi="宋体" w:cs="宋体"/>
                <w:color w:val="000000" w:themeColor="text1"/>
                <w:kern w:val="0"/>
                <w:szCs w:val="21"/>
              </w:rPr>
              <w:t>模块</w:t>
            </w:r>
          </w:p>
        </w:tc>
        <w:tc>
          <w:tcPr>
            <w:tcW w:w="1042"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安天智甲</w:t>
            </w:r>
          </w:p>
        </w:tc>
        <w:tc>
          <w:tcPr>
            <w:tcW w:w="1705"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专用机防病毒系统</w:t>
            </w:r>
          </w:p>
        </w:tc>
        <w:tc>
          <w:tcPr>
            <w:tcW w:w="331" w:type="pct"/>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c>
          <w:tcPr>
            <w:tcW w:w="279" w:type="pct"/>
            <w:shd w:val="clear" w:color="auto" w:fill="auto"/>
            <w:vAlign w:val="center"/>
          </w:tcPr>
          <w:p>
            <w:pPr>
              <w:widowControl/>
              <w:ind w:right="840"/>
              <w:jc w:val="right"/>
              <w:rPr>
                <w:rFonts w:ascii="宋体" w:hAnsi="宋体" w:cs="宋体"/>
                <w:color w:val="000000" w:themeColor="text1"/>
                <w:kern w:val="0"/>
                <w:szCs w:val="21"/>
              </w:rPr>
            </w:pPr>
            <w:r>
              <w:rPr>
                <w:rFonts w:hint="eastAsia" w:ascii="宋体" w:hAnsi="宋体" w:cs="宋体"/>
                <w:color w:val="000000" w:themeColor="text1"/>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70" w:type="pct"/>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569" w:type="pct"/>
            <w:vMerge w:val="continue"/>
            <w:vAlign w:val="center"/>
          </w:tcPr>
          <w:p>
            <w:pPr>
              <w:widowControl/>
              <w:jc w:val="left"/>
              <w:rPr>
                <w:rFonts w:ascii="宋体" w:hAnsi="宋体" w:cs="宋体"/>
                <w:color w:val="000000" w:themeColor="text1"/>
                <w:kern w:val="0"/>
                <w:szCs w:val="21"/>
              </w:rPr>
            </w:pPr>
          </w:p>
        </w:tc>
        <w:tc>
          <w:tcPr>
            <w:tcW w:w="701"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主机监控与审计系统模块</w:t>
            </w:r>
          </w:p>
        </w:tc>
        <w:tc>
          <w:tcPr>
            <w:tcW w:w="1042"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交大捷普</w:t>
            </w:r>
          </w:p>
        </w:tc>
        <w:tc>
          <w:tcPr>
            <w:tcW w:w="1705"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硬件监控、移动存储设备监控、文件监控、网络监控、身份认证。</w:t>
            </w:r>
          </w:p>
          <w:p>
            <w:pPr>
              <w:widowControl/>
              <w:rPr>
                <w:rFonts w:ascii="宋体" w:hAnsi="宋体" w:cs="宋体"/>
                <w:color w:val="000000" w:themeColor="text1"/>
                <w:kern w:val="0"/>
                <w:szCs w:val="21"/>
              </w:rPr>
            </w:pPr>
            <w:r>
              <w:rPr>
                <w:rFonts w:hint="eastAsia" w:ascii="宋体" w:hAnsi="宋体" w:cs="宋体"/>
                <w:color w:val="000000" w:themeColor="text1"/>
                <w:kern w:val="0"/>
                <w:szCs w:val="21"/>
              </w:rPr>
              <w:t>详细参数要求见“2.3.2主机监控与审计模块功能要求”章节描述。</w:t>
            </w:r>
          </w:p>
        </w:tc>
        <w:tc>
          <w:tcPr>
            <w:tcW w:w="331" w:type="pct"/>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c>
          <w:tcPr>
            <w:tcW w:w="279" w:type="pct"/>
            <w:shd w:val="clear" w:color="auto" w:fill="auto"/>
            <w:vAlign w:val="center"/>
          </w:tcPr>
          <w:p>
            <w:pPr>
              <w:widowControl/>
              <w:jc w:val="right"/>
              <w:rPr>
                <w:rFonts w:ascii="宋体" w:hAnsi="宋体" w:cs="宋体"/>
                <w:color w:val="000000" w:themeColor="text1"/>
                <w:kern w:val="0"/>
                <w:szCs w:val="21"/>
              </w:rPr>
            </w:pPr>
            <w:r>
              <w:rPr>
                <w:rFonts w:hint="eastAsia" w:ascii="宋体" w:hAnsi="宋体" w:cs="宋体"/>
                <w:color w:val="000000" w:themeColor="text1"/>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70" w:type="pct"/>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569" w:type="pct"/>
            <w:vMerge w:val="continue"/>
            <w:vAlign w:val="center"/>
          </w:tcPr>
          <w:p>
            <w:pPr>
              <w:widowControl/>
              <w:jc w:val="left"/>
              <w:rPr>
                <w:rFonts w:ascii="宋体" w:hAnsi="宋体" w:cs="宋体"/>
                <w:color w:val="000000" w:themeColor="text1"/>
                <w:kern w:val="0"/>
                <w:szCs w:val="21"/>
              </w:rPr>
            </w:pPr>
          </w:p>
        </w:tc>
        <w:tc>
          <w:tcPr>
            <w:tcW w:w="701"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数据交换系统模块 </w:t>
            </w:r>
          </w:p>
        </w:tc>
        <w:tc>
          <w:tcPr>
            <w:tcW w:w="1042"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交大捷普</w:t>
            </w:r>
          </w:p>
        </w:tc>
        <w:tc>
          <w:tcPr>
            <w:tcW w:w="1705"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移动存储介质配套系统软件，部署于中间机上，自动导入导出、可控安全交换、强制病毒查杀、强制访问控制、单机版主审日志推动等功能。</w:t>
            </w:r>
          </w:p>
          <w:p>
            <w:pPr>
              <w:widowControl/>
              <w:rPr>
                <w:rFonts w:ascii="宋体" w:hAnsi="宋体" w:cs="宋体"/>
                <w:color w:val="000000" w:themeColor="text1"/>
                <w:kern w:val="0"/>
                <w:szCs w:val="21"/>
              </w:rPr>
            </w:pPr>
            <w:r>
              <w:rPr>
                <w:rFonts w:hint="eastAsia" w:ascii="宋体" w:hAnsi="宋体" w:cs="宋体"/>
                <w:color w:val="000000" w:themeColor="text1"/>
                <w:kern w:val="0"/>
                <w:szCs w:val="21"/>
              </w:rPr>
              <w:t>详细参数要求见“</w:t>
            </w:r>
            <w:r>
              <w:rPr>
                <w:rFonts w:ascii="宋体" w:hAnsi="宋体" w:cs="宋体"/>
                <w:color w:val="000000" w:themeColor="text1"/>
                <w:kern w:val="0"/>
                <w:szCs w:val="21"/>
              </w:rPr>
              <w:t>2.3.</w:t>
            </w:r>
            <w:r>
              <w:rPr>
                <w:rFonts w:hint="eastAsia" w:ascii="宋体" w:hAnsi="宋体" w:cs="宋体"/>
                <w:color w:val="000000" w:themeColor="text1"/>
                <w:kern w:val="0"/>
                <w:szCs w:val="21"/>
              </w:rPr>
              <w:t>3</w:t>
            </w:r>
            <w:r>
              <w:rPr>
                <w:rFonts w:ascii="宋体" w:hAnsi="宋体" w:cs="宋体"/>
                <w:color w:val="000000" w:themeColor="text1"/>
                <w:kern w:val="0"/>
                <w:szCs w:val="21"/>
              </w:rPr>
              <w:t>中间机数据交换系统模块功能要求</w:t>
            </w:r>
            <w:r>
              <w:rPr>
                <w:rFonts w:hint="eastAsia" w:ascii="宋体" w:hAnsi="宋体" w:cs="宋体"/>
                <w:color w:val="000000" w:themeColor="text1"/>
                <w:kern w:val="0"/>
                <w:szCs w:val="21"/>
              </w:rPr>
              <w:t>”章节描述。</w:t>
            </w:r>
          </w:p>
        </w:tc>
        <w:tc>
          <w:tcPr>
            <w:tcW w:w="331" w:type="pct"/>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c>
          <w:tcPr>
            <w:tcW w:w="279" w:type="pct"/>
            <w:shd w:val="clear" w:color="auto" w:fill="auto"/>
            <w:vAlign w:val="center"/>
          </w:tcPr>
          <w:p>
            <w:pPr>
              <w:widowControl/>
              <w:jc w:val="right"/>
              <w:rPr>
                <w:rFonts w:ascii="宋体" w:hAnsi="宋体" w:cs="宋体"/>
                <w:color w:val="000000" w:themeColor="text1"/>
                <w:kern w:val="0"/>
                <w:szCs w:val="21"/>
              </w:rPr>
            </w:pPr>
            <w:r>
              <w:rPr>
                <w:rFonts w:hint="eastAsia" w:ascii="宋体" w:hAnsi="宋体" w:cs="宋体"/>
                <w:color w:val="000000" w:themeColor="text1"/>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70" w:type="pct"/>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569" w:type="pct"/>
            <w:vMerge w:val="continue"/>
            <w:vAlign w:val="center"/>
          </w:tcPr>
          <w:p>
            <w:pPr>
              <w:widowControl/>
              <w:jc w:val="left"/>
              <w:rPr>
                <w:rFonts w:ascii="宋体" w:hAnsi="宋体" w:cs="宋体"/>
                <w:color w:val="000000" w:themeColor="text1"/>
                <w:kern w:val="0"/>
                <w:szCs w:val="21"/>
              </w:rPr>
            </w:pPr>
          </w:p>
        </w:tc>
        <w:tc>
          <w:tcPr>
            <w:tcW w:w="701"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U盘注册管理系统</w:t>
            </w:r>
          </w:p>
        </w:tc>
        <w:tc>
          <w:tcPr>
            <w:tcW w:w="1042"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交大捷普</w:t>
            </w:r>
          </w:p>
        </w:tc>
        <w:tc>
          <w:tcPr>
            <w:tcW w:w="1705"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移动存储介质注册、管理、环境配置、日志服务配置等等</w:t>
            </w:r>
          </w:p>
          <w:p>
            <w:pPr>
              <w:widowControl/>
              <w:rPr>
                <w:rFonts w:ascii="宋体" w:hAnsi="宋体" w:cs="宋体"/>
                <w:color w:val="000000" w:themeColor="text1"/>
                <w:kern w:val="0"/>
                <w:szCs w:val="21"/>
              </w:rPr>
            </w:pPr>
            <w:r>
              <w:rPr>
                <w:rFonts w:hint="eastAsia" w:ascii="宋体" w:hAnsi="宋体" w:cs="宋体"/>
                <w:color w:val="000000" w:themeColor="text1"/>
                <w:kern w:val="0"/>
                <w:szCs w:val="21"/>
              </w:rPr>
              <w:t>详细参数要求见“</w:t>
            </w:r>
            <w:r>
              <w:rPr>
                <w:rFonts w:ascii="宋体" w:hAnsi="宋体" w:cs="宋体"/>
                <w:color w:val="000000" w:themeColor="text1"/>
                <w:kern w:val="0"/>
                <w:szCs w:val="21"/>
              </w:rPr>
              <w:t>2.3.4</w:t>
            </w:r>
            <w:r>
              <w:rPr>
                <w:rFonts w:ascii="宋体" w:hAnsi="宋体" w:cs="宋体"/>
                <w:color w:val="000000" w:themeColor="text1"/>
                <w:kern w:val="0"/>
                <w:szCs w:val="21"/>
              </w:rPr>
              <w:tab/>
            </w:r>
            <w:r>
              <w:rPr>
                <w:rFonts w:ascii="宋体" w:hAnsi="宋体" w:cs="宋体"/>
                <w:color w:val="000000" w:themeColor="text1"/>
                <w:kern w:val="0"/>
                <w:szCs w:val="21"/>
              </w:rPr>
              <w:t>中间机U盘注册管理系统功能参数要求</w:t>
            </w:r>
            <w:r>
              <w:rPr>
                <w:rFonts w:hint="eastAsia" w:ascii="宋体" w:hAnsi="宋体" w:cs="宋体"/>
                <w:color w:val="000000" w:themeColor="text1"/>
                <w:kern w:val="0"/>
                <w:szCs w:val="21"/>
              </w:rPr>
              <w:t>”章节描述。</w:t>
            </w:r>
          </w:p>
        </w:tc>
        <w:tc>
          <w:tcPr>
            <w:tcW w:w="331" w:type="pct"/>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279" w:type="pct"/>
            <w:shd w:val="clear" w:color="auto" w:fill="auto"/>
            <w:vAlign w:val="center"/>
          </w:tcPr>
          <w:p>
            <w:pPr>
              <w:widowControl/>
              <w:jc w:val="right"/>
              <w:rPr>
                <w:rFonts w:ascii="宋体" w:hAnsi="宋体" w:cs="宋体"/>
                <w:color w:val="000000" w:themeColor="text1"/>
                <w:kern w:val="0"/>
                <w:szCs w:val="21"/>
              </w:rPr>
            </w:pPr>
            <w:r>
              <w:rPr>
                <w:rFonts w:hint="eastAsia" w:ascii="宋体" w:hAnsi="宋体" w:cs="宋体"/>
                <w:color w:val="000000" w:themeColor="text1"/>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70" w:type="pct"/>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7</w:t>
            </w:r>
          </w:p>
        </w:tc>
        <w:tc>
          <w:tcPr>
            <w:tcW w:w="569" w:type="pct"/>
            <w:vMerge w:val="restart"/>
            <w:vAlign w:val="center"/>
          </w:tcPr>
          <w:p>
            <w:pPr>
              <w:widowControl/>
              <w:jc w:val="left"/>
              <w:rPr>
                <w:rFonts w:ascii="宋体" w:hAnsi="宋体" w:cs="宋体"/>
                <w:color w:val="000000" w:themeColor="text1"/>
                <w:kern w:val="0"/>
                <w:szCs w:val="21"/>
              </w:rPr>
            </w:pPr>
            <w:r>
              <w:rPr>
                <w:rFonts w:hint="eastAsia" w:asciiTheme="minorEastAsia" w:hAnsiTheme="minorEastAsia" w:eastAsiaTheme="minorEastAsia"/>
                <w:color w:val="000000" w:themeColor="text1"/>
                <w:szCs w:val="21"/>
              </w:rPr>
              <w:t>原终端安全管理系统升级技术服务</w:t>
            </w:r>
          </w:p>
        </w:tc>
        <w:tc>
          <w:tcPr>
            <w:tcW w:w="701"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跨版本</w:t>
            </w:r>
          </w:p>
          <w:p>
            <w:pPr>
              <w:widowControl/>
              <w:rPr>
                <w:rFonts w:ascii="宋体" w:hAnsi="宋体" w:cs="宋体"/>
                <w:color w:val="000000" w:themeColor="text1"/>
                <w:kern w:val="0"/>
                <w:szCs w:val="21"/>
              </w:rPr>
            </w:pPr>
            <w:r>
              <w:rPr>
                <w:rFonts w:hint="eastAsia" w:ascii="宋体" w:hAnsi="宋体" w:cs="宋体"/>
                <w:color w:val="000000" w:themeColor="text1"/>
                <w:kern w:val="0"/>
                <w:szCs w:val="21"/>
              </w:rPr>
              <w:t>升级</w:t>
            </w:r>
          </w:p>
        </w:tc>
        <w:tc>
          <w:tcPr>
            <w:tcW w:w="1042"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交大捷普</w:t>
            </w:r>
          </w:p>
        </w:tc>
        <w:tc>
          <w:tcPr>
            <w:tcW w:w="1705" w:type="pct"/>
            <w:shd w:val="clear" w:color="auto" w:fill="auto"/>
            <w:vAlign w:val="center"/>
          </w:tcPr>
          <w:p>
            <w:pPr>
              <w:widowControl/>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1、将原有的主机监控与审计系统（基础版）升级为主机监控与审计系统（移动外设版）。</w:t>
            </w:r>
          </w:p>
          <w:p>
            <w:pPr>
              <w:widowControl/>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2、服务期内提供更换新产品软件授权点700个（一年）。</w:t>
            </w:r>
          </w:p>
          <w:p>
            <w:pPr>
              <w:widowControl/>
              <w:rPr>
                <w:rFonts w:ascii="宋体" w:hAnsi="宋体" w:cs="宋体"/>
                <w:color w:val="000000" w:themeColor="text1"/>
                <w:kern w:val="0"/>
                <w:szCs w:val="21"/>
              </w:rPr>
            </w:pPr>
            <w:r>
              <w:rPr>
                <w:rFonts w:hint="eastAsia" w:ascii="宋体" w:hAnsi="宋体" w:cs="宋体"/>
                <w:color w:val="000000" w:themeColor="text1"/>
                <w:kern w:val="0"/>
                <w:szCs w:val="21"/>
              </w:rPr>
              <w:t>详细参数要求见“</w:t>
            </w:r>
            <w:r>
              <w:rPr>
                <w:rFonts w:ascii="宋体" w:hAnsi="宋体" w:cs="宋体"/>
                <w:color w:val="000000" w:themeColor="text1"/>
                <w:kern w:val="0"/>
                <w:szCs w:val="21"/>
              </w:rPr>
              <w:t>2.3.5原终端安全管理系统升级版本功能要求</w:t>
            </w:r>
            <w:r>
              <w:rPr>
                <w:rFonts w:hint="eastAsia" w:ascii="宋体" w:hAnsi="宋体" w:cs="宋体"/>
                <w:color w:val="000000" w:themeColor="text1"/>
                <w:kern w:val="0"/>
                <w:szCs w:val="21"/>
              </w:rPr>
              <w:t>”章节描述</w:t>
            </w:r>
          </w:p>
        </w:tc>
        <w:tc>
          <w:tcPr>
            <w:tcW w:w="331" w:type="pct"/>
            <w:shd w:val="clear" w:color="auto" w:fill="auto"/>
            <w:vAlign w:val="center"/>
          </w:tcPr>
          <w:p>
            <w:pPr>
              <w:widowControl/>
              <w:jc w:val="center"/>
              <w:rPr>
                <w:rFonts w:ascii="宋体" w:hAnsi="宋体" w:cs="宋体"/>
                <w:color w:val="000000" w:themeColor="text1"/>
                <w:kern w:val="0"/>
                <w:szCs w:val="21"/>
              </w:rPr>
            </w:pPr>
            <w:r>
              <w:rPr>
                <w:rFonts w:hint="eastAsia" w:cs="宋体" w:asciiTheme="minorEastAsia" w:hAnsiTheme="minorEastAsia" w:eastAsiaTheme="minorEastAsia"/>
                <w:color w:val="000000" w:themeColor="text1"/>
                <w:szCs w:val="21"/>
              </w:rPr>
              <w:t>1</w:t>
            </w:r>
          </w:p>
        </w:tc>
        <w:tc>
          <w:tcPr>
            <w:tcW w:w="279" w:type="pct"/>
            <w:shd w:val="clear" w:color="auto" w:fill="auto"/>
            <w:vAlign w:val="center"/>
          </w:tcPr>
          <w:p>
            <w:pPr>
              <w:widowControl/>
              <w:jc w:val="right"/>
              <w:rPr>
                <w:rFonts w:ascii="宋体" w:hAnsi="宋体" w:cs="宋体"/>
                <w:color w:val="000000" w:themeColor="text1"/>
                <w:kern w:val="0"/>
                <w:szCs w:val="21"/>
              </w:rPr>
            </w:pPr>
            <w:r>
              <w:rPr>
                <w:rFonts w:hint="eastAsia" w:ascii="宋体" w:hAnsi="宋体" w:cs="宋体"/>
                <w:color w:val="000000" w:themeColor="text1"/>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70" w:type="pct"/>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569" w:type="pct"/>
            <w:vMerge w:val="continue"/>
            <w:vAlign w:val="center"/>
          </w:tcPr>
          <w:p>
            <w:pPr>
              <w:widowControl/>
              <w:jc w:val="left"/>
              <w:rPr>
                <w:rFonts w:ascii="宋体" w:hAnsi="宋体" w:cs="宋体"/>
                <w:color w:val="000000" w:themeColor="text1"/>
                <w:kern w:val="0"/>
                <w:szCs w:val="21"/>
              </w:rPr>
            </w:pPr>
          </w:p>
        </w:tc>
        <w:tc>
          <w:tcPr>
            <w:tcW w:w="701"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客户端升级</w:t>
            </w:r>
          </w:p>
        </w:tc>
        <w:tc>
          <w:tcPr>
            <w:tcW w:w="1042"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交大捷普</w:t>
            </w:r>
          </w:p>
        </w:tc>
        <w:tc>
          <w:tcPr>
            <w:tcW w:w="1705" w:type="pct"/>
            <w:shd w:val="clear" w:color="auto" w:fill="auto"/>
            <w:vAlign w:val="center"/>
          </w:tcPr>
          <w:p>
            <w:pPr>
              <w:widowControl/>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因产品跨版本升级，需现场升级服务，重新安装市院服务器端系统和150个客户端软件。</w:t>
            </w:r>
          </w:p>
          <w:p>
            <w:pPr>
              <w:widowControl/>
              <w:rPr>
                <w:rFonts w:ascii="宋体" w:hAnsi="宋体" w:cs="宋体"/>
                <w:color w:val="000000" w:themeColor="text1"/>
                <w:kern w:val="0"/>
                <w:szCs w:val="21"/>
              </w:rPr>
            </w:pPr>
            <w:r>
              <w:rPr>
                <w:rFonts w:hint="eastAsia" w:asciiTheme="minorEastAsia" w:hAnsiTheme="minorEastAsia" w:eastAsiaTheme="minorEastAsia"/>
                <w:color w:val="000000" w:themeColor="text1"/>
                <w:szCs w:val="21"/>
              </w:rPr>
              <w:t>提供产品升级服务、原厂安装服务。</w:t>
            </w:r>
          </w:p>
        </w:tc>
        <w:tc>
          <w:tcPr>
            <w:tcW w:w="331" w:type="pct"/>
            <w:shd w:val="clear" w:color="auto" w:fill="auto"/>
            <w:vAlign w:val="center"/>
          </w:tcPr>
          <w:p>
            <w:pPr>
              <w:widowControl/>
              <w:jc w:val="center"/>
              <w:rPr>
                <w:rFonts w:ascii="宋体" w:hAnsi="宋体" w:cs="宋体"/>
                <w:color w:val="000000" w:themeColor="text1"/>
                <w:kern w:val="0"/>
                <w:szCs w:val="21"/>
              </w:rPr>
            </w:pPr>
            <w:r>
              <w:rPr>
                <w:rFonts w:hint="eastAsia" w:cs="宋体" w:asciiTheme="minorEastAsia" w:hAnsiTheme="minorEastAsia" w:eastAsiaTheme="minorEastAsia"/>
                <w:color w:val="000000" w:themeColor="text1"/>
                <w:szCs w:val="21"/>
              </w:rPr>
              <w:t>1</w:t>
            </w:r>
          </w:p>
        </w:tc>
        <w:tc>
          <w:tcPr>
            <w:tcW w:w="279" w:type="pct"/>
            <w:shd w:val="clear" w:color="auto" w:fill="auto"/>
            <w:vAlign w:val="center"/>
          </w:tcPr>
          <w:p>
            <w:pPr>
              <w:widowControl/>
              <w:ind w:right="630"/>
              <w:jc w:val="right"/>
              <w:rPr>
                <w:rFonts w:ascii="宋体" w:hAnsi="宋体" w:cs="宋体"/>
                <w:color w:val="000000" w:themeColor="text1"/>
                <w:kern w:val="0"/>
                <w:szCs w:val="21"/>
              </w:rPr>
            </w:pPr>
            <w:r>
              <w:rPr>
                <w:rFonts w:hint="eastAsia" w:ascii="宋体" w:hAnsi="宋体" w:cs="宋体"/>
                <w:color w:val="000000" w:themeColor="text1"/>
                <w:kern w:val="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70" w:type="pct"/>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9</w:t>
            </w:r>
          </w:p>
        </w:tc>
        <w:tc>
          <w:tcPr>
            <w:tcW w:w="569" w:type="pct"/>
            <w:vMerge w:val="restar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移动存储交换介质</w:t>
            </w:r>
          </w:p>
        </w:tc>
        <w:tc>
          <w:tcPr>
            <w:tcW w:w="701"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安全可控U盘（外网版）</w:t>
            </w:r>
          </w:p>
        </w:tc>
        <w:tc>
          <w:tcPr>
            <w:tcW w:w="1042"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交大捷普</w:t>
            </w:r>
          </w:p>
        </w:tc>
        <w:tc>
          <w:tcPr>
            <w:tcW w:w="1705"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专用安全U盘32G。防复制、防篡改、防病毒、防截屏录屏、防暴力破解、限时限次、文件隐藏等功能</w:t>
            </w:r>
          </w:p>
          <w:p>
            <w:pPr>
              <w:widowControl/>
              <w:rPr>
                <w:rFonts w:ascii="宋体" w:hAnsi="宋体" w:cs="宋体"/>
                <w:color w:val="000000" w:themeColor="text1"/>
                <w:kern w:val="0"/>
                <w:szCs w:val="21"/>
              </w:rPr>
            </w:pPr>
            <w:r>
              <w:rPr>
                <w:rFonts w:hint="eastAsia" w:ascii="宋体" w:hAnsi="宋体" w:cs="宋体"/>
                <w:color w:val="000000" w:themeColor="text1"/>
                <w:kern w:val="0"/>
                <w:szCs w:val="21"/>
              </w:rPr>
              <w:t>详细参数要求见“</w:t>
            </w:r>
            <w:r>
              <w:rPr>
                <w:rFonts w:ascii="宋体" w:hAnsi="宋体" w:cs="宋体"/>
                <w:color w:val="000000" w:themeColor="text1"/>
                <w:kern w:val="0"/>
                <w:szCs w:val="21"/>
              </w:rPr>
              <w:t>2.3.6安全可控U盘技术参数要求</w:t>
            </w:r>
            <w:r>
              <w:rPr>
                <w:rFonts w:hint="eastAsia" w:ascii="宋体" w:hAnsi="宋体" w:cs="宋体"/>
                <w:color w:val="000000" w:themeColor="text1"/>
                <w:kern w:val="0"/>
                <w:szCs w:val="21"/>
              </w:rPr>
              <w:t>”章节描述</w:t>
            </w:r>
          </w:p>
        </w:tc>
        <w:tc>
          <w:tcPr>
            <w:tcW w:w="331" w:type="pct"/>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120</w:t>
            </w:r>
          </w:p>
        </w:tc>
        <w:tc>
          <w:tcPr>
            <w:tcW w:w="279" w:type="pct"/>
            <w:shd w:val="clear" w:color="auto" w:fill="auto"/>
            <w:vAlign w:val="center"/>
          </w:tcPr>
          <w:p>
            <w:pPr>
              <w:widowControl/>
              <w:ind w:right="420"/>
              <w:jc w:val="right"/>
              <w:rPr>
                <w:rFonts w:ascii="宋体" w:hAnsi="宋体" w:cs="宋体"/>
                <w:color w:val="000000" w:themeColor="text1"/>
                <w:kern w:val="0"/>
                <w:szCs w:val="21"/>
              </w:rPr>
            </w:pPr>
            <w:r>
              <w:rPr>
                <w:rFonts w:hint="eastAsia" w:ascii="宋体" w:hAnsi="宋体" w:cs="宋体"/>
                <w:color w:val="000000" w:themeColor="text1"/>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70" w:type="pct"/>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569" w:type="pct"/>
            <w:vMerge w:val="continue"/>
            <w:vAlign w:val="center"/>
          </w:tcPr>
          <w:p>
            <w:pPr>
              <w:widowControl/>
              <w:jc w:val="left"/>
              <w:rPr>
                <w:rFonts w:ascii="宋体" w:hAnsi="宋体" w:cs="宋体"/>
                <w:color w:val="000000" w:themeColor="text1"/>
                <w:kern w:val="0"/>
                <w:szCs w:val="21"/>
              </w:rPr>
            </w:pPr>
          </w:p>
        </w:tc>
        <w:tc>
          <w:tcPr>
            <w:tcW w:w="701"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安全可控U盘（内网版）</w:t>
            </w:r>
          </w:p>
        </w:tc>
        <w:tc>
          <w:tcPr>
            <w:tcW w:w="1042"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交大捷普</w:t>
            </w:r>
          </w:p>
        </w:tc>
        <w:tc>
          <w:tcPr>
            <w:tcW w:w="1705"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专用安全U盘32G。登陆认证、强制标记认证、安全审计、日志上次数据中心、支持Linux、Windows跨平台使用。</w:t>
            </w:r>
          </w:p>
          <w:p>
            <w:pPr>
              <w:widowControl/>
              <w:rPr>
                <w:rFonts w:ascii="宋体" w:hAnsi="宋体" w:cs="宋体"/>
                <w:color w:val="000000" w:themeColor="text1"/>
                <w:kern w:val="0"/>
                <w:szCs w:val="21"/>
              </w:rPr>
            </w:pPr>
            <w:r>
              <w:rPr>
                <w:rFonts w:hint="eastAsia" w:ascii="宋体" w:hAnsi="宋体" w:cs="宋体"/>
                <w:color w:val="000000" w:themeColor="text1"/>
                <w:kern w:val="0"/>
                <w:szCs w:val="21"/>
              </w:rPr>
              <w:t>详细参数要求见“</w:t>
            </w:r>
            <w:r>
              <w:rPr>
                <w:rFonts w:ascii="宋体" w:hAnsi="宋体" w:cs="宋体"/>
                <w:color w:val="000000" w:themeColor="text1"/>
                <w:kern w:val="0"/>
                <w:szCs w:val="21"/>
              </w:rPr>
              <w:t>2.3.6安全可控U盘技术参数要求</w:t>
            </w:r>
            <w:r>
              <w:rPr>
                <w:rFonts w:hint="eastAsia" w:ascii="宋体" w:hAnsi="宋体" w:cs="宋体"/>
                <w:color w:val="000000" w:themeColor="text1"/>
                <w:kern w:val="0"/>
                <w:szCs w:val="21"/>
              </w:rPr>
              <w:t>”章节描述</w:t>
            </w:r>
          </w:p>
        </w:tc>
        <w:tc>
          <w:tcPr>
            <w:tcW w:w="331" w:type="pct"/>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120</w:t>
            </w:r>
          </w:p>
        </w:tc>
        <w:tc>
          <w:tcPr>
            <w:tcW w:w="279" w:type="pct"/>
            <w:shd w:val="clear" w:color="auto" w:fill="auto"/>
            <w:vAlign w:val="center"/>
          </w:tcPr>
          <w:p>
            <w:pPr>
              <w:widowControl/>
              <w:ind w:right="420"/>
              <w:jc w:val="right"/>
              <w:rPr>
                <w:rFonts w:ascii="宋体" w:hAnsi="宋体" w:cs="宋体"/>
                <w:color w:val="000000" w:themeColor="text1"/>
                <w:kern w:val="0"/>
                <w:szCs w:val="21"/>
              </w:rPr>
            </w:pPr>
            <w:r>
              <w:rPr>
                <w:rFonts w:hint="eastAsia" w:ascii="宋体" w:hAnsi="宋体" w:cs="宋体"/>
                <w:color w:val="000000" w:themeColor="text1"/>
                <w:kern w:val="0"/>
                <w:szCs w:val="21"/>
              </w:rPr>
              <w:t>个</w:t>
            </w:r>
          </w:p>
        </w:tc>
      </w:tr>
    </w:tbl>
    <w:p>
      <w:pPr>
        <w:rPr>
          <w:color w:val="000000" w:themeColor="text1"/>
        </w:rPr>
      </w:pPr>
    </w:p>
    <w:p>
      <w:pPr>
        <w:pStyle w:val="3"/>
        <w:numPr>
          <w:ilvl w:val="2"/>
          <w:numId w:val="0"/>
        </w:numPr>
        <w:spacing w:line="360" w:lineRule="auto"/>
        <w:ind w:left="720" w:hanging="720"/>
        <w:rPr>
          <w:color w:val="000000" w:themeColor="text1"/>
        </w:rPr>
      </w:pPr>
      <w:r>
        <w:rPr>
          <w:rFonts w:hint="eastAsia"/>
          <w:color w:val="000000" w:themeColor="text1"/>
        </w:rPr>
        <w:t>中间机硬件配置要求</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10" w:type="pct"/>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CPU</w:t>
            </w:r>
          </w:p>
        </w:tc>
        <w:tc>
          <w:tcPr>
            <w:tcW w:w="3990"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飞腾FT1500A 4核或以上处理器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10" w:type="pct"/>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操作系统</w:t>
            </w:r>
          </w:p>
        </w:tc>
        <w:tc>
          <w:tcPr>
            <w:tcW w:w="3990"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麒麟桌面操作系统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10" w:type="pct"/>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固件</w:t>
            </w:r>
          </w:p>
        </w:tc>
        <w:tc>
          <w:tcPr>
            <w:tcW w:w="3990"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国产昆仑固件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10" w:type="pct"/>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硬盘</w:t>
            </w:r>
          </w:p>
        </w:tc>
        <w:tc>
          <w:tcPr>
            <w:tcW w:w="3990"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240GB 以上硬盘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10" w:type="pct"/>
            <w:vMerge w:val="restart"/>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内存</w:t>
            </w:r>
          </w:p>
        </w:tc>
        <w:tc>
          <w:tcPr>
            <w:tcW w:w="3990"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DDR4 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10" w:type="pct"/>
            <w:vMerge w:val="continue"/>
            <w:vAlign w:val="center"/>
          </w:tcPr>
          <w:p>
            <w:pPr>
              <w:widowControl/>
              <w:jc w:val="left"/>
              <w:rPr>
                <w:rFonts w:ascii="宋体" w:hAnsi="宋体" w:cs="宋体"/>
                <w:color w:val="000000" w:themeColor="text1"/>
                <w:kern w:val="0"/>
                <w:szCs w:val="21"/>
              </w:rPr>
            </w:pPr>
          </w:p>
        </w:tc>
        <w:tc>
          <w:tcPr>
            <w:tcW w:w="3990"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2个内存插槽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10" w:type="pct"/>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光驱</w:t>
            </w:r>
          </w:p>
        </w:tc>
        <w:tc>
          <w:tcPr>
            <w:tcW w:w="3990"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内置DVD刻录光驱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10" w:type="pct"/>
            <w:vMerge w:val="restart"/>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接口</w:t>
            </w:r>
          </w:p>
        </w:tc>
        <w:tc>
          <w:tcPr>
            <w:tcW w:w="3990"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前置2个USB2.0接口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10" w:type="pct"/>
            <w:vMerge w:val="continue"/>
            <w:vAlign w:val="center"/>
          </w:tcPr>
          <w:p>
            <w:pPr>
              <w:widowControl/>
              <w:jc w:val="left"/>
              <w:rPr>
                <w:rFonts w:ascii="宋体" w:hAnsi="宋体" w:cs="宋体"/>
                <w:color w:val="000000" w:themeColor="text1"/>
                <w:kern w:val="0"/>
                <w:szCs w:val="21"/>
              </w:rPr>
            </w:pPr>
          </w:p>
        </w:tc>
        <w:tc>
          <w:tcPr>
            <w:tcW w:w="3990"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后置4个USB3.0接口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10" w:type="pct"/>
            <w:vMerge w:val="continue"/>
            <w:vAlign w:val="center"/>
          </w:tcPr>
          <w:p>
            <w:pPr>
              <w:widowControl/>
              <w:jc w:val="left"/>
              <w:rPr>
                <w:rFonts w:ascii="宋体" w:hAnsi="宋体" w:cs="宋体"/>
                <w:color w:val="000000" w:themeColor="text1"/>
                <w:kern w:val="0"/>
                <w:szCs w:val="21"/>
              </w:rPr>
            </w:pPr>
          </w:p>
        </w:tc>
        <w:tc>
          <w:tcPr>
            <w:tcW w:w="3990"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独立显卡，1G显存，带VGA和HDMI接口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10" w:type="pct"/>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w:t>
            </w:r>
          </w:p>
        </w:tc>
        <w:tc>
          <w:tcPr>
            <w:tcW w:w="3990"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交流供电电压220V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10" w:type="pct"/>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显示器</w:t>
            </w:r>
          </w:p>
        </w:tc>
        <w:tc>
          <w:tcPr>
            <w:tcW w:w="3990" w:type="pct"/>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21.5寸LED屏</w:t>
            </w:r>
          </w:p>
        </w:tc>
      </w:tr>
    </w:tbl>
    <w:p>
      <w:pPr>
        <w:rPr>
          <w:color w:val="000000" w:themeColor="text1"/>
        </w:rPr>
      </w:pPr>
    </w:p>
    <w:p>
      <w:pPr>
        <w:pStyle w:val="3"/>
        <w:numPr>
          <w:ilvl w:val="2"/>
          <w:numId w:val="0"/>
        </w:numPr>
        <w:spacing w:line="360" w:lineRule="auto"/>
        <w:ind w:left="720" w:hanging="720"/>
        <w:rPr>
          <w:color w:val="000000" w:themeColor="text1"/>
        </w:rPr>
      </w:pPr>
      <w:r>
        <w:rPr>
          <w:rFonts w:hint="eastAsia"/>
          <w:color w:val="000000" w:themeColor="text1"/>
        </w:rPr>
        <w:t>中间机主机监控与审计模块功能要求</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1549"/>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82" w:type="pct"/>
            <w:vAlign w:val="center"/>
          </w:tcPr>
          <w:p>
            <w:pPr>
              <w:adjustRightInd w:val="0"/>
              <w:snapToGrid w:val="0"/>
              <w:jc w:val="center"/>
              <w:rPr>
                <w:rFonts w:ascii="宋体" w:hAnsi="宋体"/>
                <w:color w:val="000000" w:themeColor="text1"/>
                <w:szCs w:val="21"/>
              </w:rPr>
            </w:pPr>
            <w:r>
              <w:rPr>
                <w:rFonts w:hint="eastAsia" w:ascii="宋体" w:hAnsi="宋体"/>
                <w:color w:val="000000" w:themeColor="text1"/>
                <w:szCs w:val="21"/>
              </w:rPr>
              <w:t>管理用户分级</w:t>
            </w:r>
          </w:p>
        </w:tc>
        <w:tc>
          <w:tcPr>
            <w:tcW w:w="4318" w:type="pct"/>
            <w:gridSpan w:val="2"/>
            <w:vAlign w:val="center"/>
          </w:tcPr>
          <w:p>
            <w:pPr>
              <w:adjustRightInd w:val="0"/>
              <w:snapToGrid w:val="0"/>
              <w:jc w:val="left"/>
              <w:rPr>
                <w:rFonts w:ascii="宋体" w:hAnsi="宋体"/>
                <w:color w:val="000000" w:themeColor="text1"/>
                <w:szCs w:val="21"/>
              </w:rPr>
            </w:pPr>
            <w:r>
              <w:rPr>
                <w:rFonts w:hint="eastAsia" w:ascii="宋体" w:hAnsi="宋体"/>
                <w:color w:val="000000" w:themeColor="text1"/>
                <w:szCs w:val="21"/>
              </w:rPr>
              <w:t>采用“三权分立”的用户管理权限：分别是系统管理员、安全保密管理员和安全审计员，可对各自不同的权限管理和日志管理等。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82" w:type="pct"/>
            <w:vAlign w:val="center"/>
          </w:tcPr>
          <w:p>
            <w:pPr>
              <w:adjustRightInd w:val="0"/>
              <w:snapToGrid w:val="0"/>
              <w:jc w:val="center"/>
              <w:rPr>
                <w:rFonts w:ascii="宋体" w:hAnsi="宋体"/>
                <w:color w:val="000000" w:themeColor="text1"/>
                <w:szCs w:val="21"/>
              </w:rPr>
            </w:pPr>
            <w:r>
              <w:rPr>
                <w:rFonts w:hint="eastAsia" w:ascii="宋体" w:hAnsi="宋体"/>
                <w:color w:val="000000" w:themeColor="text1"/>
                <w:szCs w:val="21"/>
              </w:rPr>
              <w:t>多操作系统支持</w:t>
            </w:r>
          </w:p>
        </w:tc>
        <w:tc>
          <w:tcPr>
            <w:tcW w:w="4318" w:type="pct"/>
            <w:gridSpan w:val="2"/>
            <w:vAlign w:val="center"/>
          </w:tcPr>
          <w:p>
            <w:pPr>
              <w:adjustRightInd w:val="0"/>
              <w:snapToGrid w:val="0"/>
              <w:jc w:val="left"/>
              <w:rPr>
                <w:rFonts w:ascii="宋体" w:hAnsi="宋体"/>
                <w:color w:val="000000" w:themeColor="text1"/>
                <w:szCs w:val="21"/>
              </w:rPr>
            </w:pPr>
            <w:r>
              <w:rPr>
                <w:rFonts w:hint="eastAsia" w:ascii="宋体" w:hAnsi="宋体"/>
                <w:color w:val="000000" w:themeColor="text1"/>
                <w:szCs w:val="21"/>
              </w:rPr>
              <w:t>▲可支持</w:t>
            </w:r>
            <w:r>
              <w:rPr>
                <w:rFonts w:ascii="宋体" w:hAnsi="宋体"/>
                <w:color w:val="000000" w:themeColor="text1"/>
                <w:szCs w:val="21"/>
              </w:rPr>
              <w:t>银河麒麟桌面操作系统</w:t>
            </w:r>
            <w:r>
              <w:rPr>
                <w:rFonts w:hint="eastAsia" w:ascii="宋体" w:hAnsi="宋体" w:cs="宋体"/>
                <w:color w:val="000000" w:themeColor="text1"/>
                <w:kern w:val="0"/>
                <w:szCs w:val="21"/>
              </w:rPr>
              <w:t>、</w:t>
            </w:r>
            <w:r>
              <w:rPr>
                <w:rFonts w:hint="eastAsia" w:ascii="宋体" w:hAnsi="宋体"/>
                <w:color w:val="000000" w:themeColor="text1"/>
                <w:szCs w:val="21"/>
              </w:rPr>
              <w:t>中标麒麟桌面操作系统（龙芯、兆芯），支持飞腾FT-1500A/4 1.5GHz(4核)、龙芯</w:t>
            </w:r>
            <w:r>
              <w:rPr>
                <w:rFonts w:ascii="宋体" w:hAnsi="宋体"/>
                <w:color w:val="000000" w:themeColor="text1"/>
                <w:szCs w:val="21"/>
              </w:rPr>
              <w:t>3B1500 1.2GHz (8</w:t>
            </w:r>
            <w:r>
              <w:rPr>
                <w:rFonts w:hint="eastAsia" w:ascii="宋体" w:hAnsi="宋体"/>
                <w:color w:val="000000" w:themeColor="text1"/>
                <w:szCs w:val="21"/>
              </w:rPr>
              <w:t>核</w:t>
            </w:r>
            <w:r>
              <w:rPr>
                <w:rFonts w:ascii="宋体" w:hAnsi="宋体"/>
                <w:color w:val="000000" w:themeColor="text1"/>
                <w:szCs w:val="21"/>
              </w:rPr>
              <w:t>)</w:t>
            </w:r>
            <w:r>
              <w:rPr>
                <w:rFonts w:hint="eastAsia" w:ascii="宋体" w:hAnsi="宋体"/>
                <w:color w:val="000000" w:themeColor="text1"/>
                <w:szCs w:val="21"/>
              </w:rPr>
              <w:t>、兆芯</w:t>
            </w:r>
            <w:r>
              <w:rPr>
                <w:rFonts w:ascii="宋体" w:hAnsi="宋体"/>
                <w:color w:val="000000" w:themeColor="text1"/>
                <w:szCs w:val="21"/>
              </w:rPr>
              <w:t>ZX-C4610 2.0GHz(4</w:t>
            </w:r>
            <w:r>
              <w:rPr>
                <w:rFonts w:hint="eastAsia" w:ascii="宋体" w:hAnsi="宋体"/>
                <w:color w:val="000000" w:themeColor="text1"/>
                <w:szCs w:val="21"/>
              </w:rPr>
              <w:t>核</w:t>
            </w:r>
            <w:r>
              <w:rPr>
                <w:rFonts w:ascii="宋体" w:hAnsi="宋体"/>
                <w:color w:val="000000" w:themeColor="text1"/>
                <w:szCs w:val="21"/>
              </w:rPr>
              <w:t>)</w:t>
            </w:r>
            <w:r>
              <w:rPr>
                <w:rFonts w:hint="eastAsia" w:ascii="宋体" w:hAnsi="宋体"/>
                <w:color w:val="000000" w:themeColor="text1"/>
                <w:szCs w:val="21"/>
              </w:rPr>
              <w:t>等C</w:t>
            </w:r>
            <w:r>
              <w:rPr>
                <w:rFonts w:ascii="宋体" w:hAnsi="宋体"/>
                <w:color w:val="000000" w:themeColor="text1"/>
                <w:szCs w:val="21"/>
              </w:rPr>
              <w:t>PU</w:t>
            </w:r>
            <w:r>
              <w:rPr>
                <w:rFonts w:hint="eastAsia" w:ascii="宋体" w:hAnsi="宋体"/>
                <w:color w:val="000000" w:themeColor="text1"/>
                <w:szCs w:val="21"/>
              </w:rPr>
              <w:t>，（提供证明材盖原厂盖章证明）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82" w:type="pct"/>
            <w:vMerge w:val="restart"/>
            <w:vAlign w:val="center"/>
          </w:tcPr>
          <w:p>
            <w:pPr>
              <w:adjustRightInd w:val="0"/>
              <w:snapToGrid w:val="0"/>
              <w:jc w:val="center"/>
              <w:rPr>
                <w:rFonts w:ascii="宋体" w:hAnsi="宋体"/>
                <w:color w:val="000000" w:themeColor="text1"/>
                <w:szCs w:val="21"/>
              </w:rPr>
            </w:pPr>
            <w:r>
              <w:rPr>
                <w:rFonts w:hint="eastAsia" w:ascii="宋体" w:hAnsi="宋体"/>
                <w:color w:val="000000" w:themeColor="text1"/>
                <w:szCs w:val="21"/>
              </w:rPr>
              <w:t>基础环境审计</w:t>
            </w:r>
          </w:p>
        </w:tc>
        <w:tc>
          <w:tcPr>
            <w:tcW w:w="9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软件变更审计</w:t>
            </w:r>
          </w:p>
        </w:tc>
        <w:tc>
          <w:tcPr>
            <w:tcW w:w="34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监控终端软件安装及卸载行为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82" w:type="pct"/>
            <w:vMerge w:val="continue"/>
            <w:vAlign w:val="center"/>
          </w:tcPr>
          <w:p>
            <w:pPr>
              <w:adjustRightInd w:val="0"/>
              <w:snapToGrid w:val="0"/>
              <w:jc w:val="center"/>
              <w:rPr>
                <w:rFonts w:ascii="宋体" w:hAnsi="宋体"/>
                <w:color w:val="000000" w:themeColor="text1"/>
                <w:szCs w:val="21"/>
              </w:rPr>
            </w:pPr>
          </w:p>
        </w:tc>
        <w:tc>
          <w:tcPr>
            <w:tcW w:w="9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硬件变更审计</w:t>
            </w:r>
          </w:p>
        </w:tc>
        <w:tc>
          <w:tcPr>
            <w:tcW w:w="34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监控终端硬件变更行为，硬件设备类型包括C</w:t>
            </w:r>
            <w:r>
              <w:rPr>
                <w:rFonts w:ascii="宋体" w:hAnsi="宋体"/>
                <w:color w:val="000000" w:themeColor="text1"/>
                <w:szCs w:val="21"/>
              </w:rPr>
              <w:t>PU</w:t>
            </w:r>
            <w:r>
              <w:rPr>
                <w:rFonts w:hint="eastAsia" w:ascii="宋体" w:hAnsi="宋体"/>
                <w:color w:val="000000" w:themeColor="text1"/>
                <w:szCs w:val="21"/>
              </w:rPr>
              <w:t>、</w:t>
            </w:r>
            <w:r>
              <w:rPr>
                <w:rFonts w:ascii="宋体" w:hAnsi="宋体"/>
                <w:color w:val="000000" w:themeColor="text1"/>
                <w:szCs w:val="21"/>
              </w:rPr>
              <w:t>主板、键鼠、硬盘等系统自身硬件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82" w:type="pct"/>
            <w:vMerge w:val="continue"/>
            <w:vAlign w:val="center"/>
          </w:tcPr>
          <w:p>
            <w:pPr>
              <w:adjustRightInd w:val="0"/>
              <w:snapToGrid w:val="0"/>
              <w:jc w:val="center"/>
              <w:rPr>
                <w:rFonts w:ascii="宋体" w:hAnsi="宋体"/>
                <w:color w:val="000000" w:themeColor="text1"/>
                <w:szCs w:val="21"/>
              </w:rPr>
            </w:pPr>
          </w:p>
        </w:tc>
        <w:tc>
          <w:tcPr>
            <w:tcW w:w="9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软件安装控制</w:t>
            </w:r>
          </w:p>
        </w:tc>
        <w:tc>
          <w:tcPr>
            <w:tcW w:w="34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对终端安装软件进行控制，禁止黑名单软件安装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82" w:type="pct"/>
            <w:vAlign w:val="center"/>
          </w:tcPr>
          <w:p>
            <w:pPr>
              <w:adjustRightInd w:val="0"/>
              <w:snapToGrid w:val="0"/>
              <w:jc w:val="center"/>
              <w:rPr>
                <w:rFonts w:ascii="宋体" w:hAnsi="宋体"/>
                <w:color w:val="000000" w:themeColor="text1"/>
                <w:szCs w:val="21"/>
              </w:rPr>
            </w:pPr>
            <w:r>
              <w:rPr>
                <w:rFonts w:hint="eastAsia" w:ascii="宋体" w:hAnsi="宋体"/>
                <w:color w:val="000000" w:themeColor="text1"/>
                <w:szCs w:val="21"/>
              </w:rPr>
              <w:t>登录审计</w:t>
            </w:r>
          </w:p>
        </w:tc>
        <w:tc>
          <w:tcPr>
            <w:tcW w:w="9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登录审计</w:t>
            </w:r>
          </w:p>
        </w:tc>
        <w:tc>
          <w:tcPr>
            <w:tcW w:w="34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监控终端的开机、关机、注销及登录行为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82" w:type="pct"/>
            <w:vMerge w:val="restart"/>
            <w:vAlign w:val="center"/>
          </w:tcPr>
          <w:p>
            <w:pPr>
              <w:adjustRightInd w:val="0"/>
              <w:snapToGrid w:val="0"/>
              <w:jc w:val="center"/>
              <w:rPr>
                <w:rFonts w:ascii="宋体" w:hAnsi="宋体"/>
                <w:color w:val="000000" w:themeColor="text1"/>
                <w:szCs w:val="21"/>
              </w:rPr>
            </w:pPr>
            <w:r>
              <w:rPr>
                <w:rFonts w:hint="eastAsia" w:ascii="宋体" w:hAnsi="宋体"/>
                <w:color w:val="000000" w:themeColor="text1"/>
                <w:szCs w:val="21"/>
              </w:rPr>
              <w:t>外设审计</w:t>
            </w:r>
          </w:p>
        </w:tc>
        <w:tc>
          <w:tcPr>
            <w:tcW w:w="9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移动存储介质控制</w:t>
            </w:r>
          </w:p>
        </w:tc>
        <w:tc>
          <w:tcPr>
            <w:tcW w:w="34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监控终端接入的移动存储介质，包括允许、只读和禁止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82" w:type="pct"/>
            <w:vMerge w:val="continue"/>
            <w:vAlign w:val="center"/>
          </w:tcPr>
          <w:p>
            <w:pPr>
              <w:adjustRightInd w:val="0"/>
              <w:snapToGrid w:val="0"/>
              <w:jc w:val="center"/>
              <w:rPr>
                <w:rFonts w:ascii="宋体" w:hAnsi="宋体"/>
                <w:color w:val="000000" w:themeColor="text1"/>
                <w:szCs w:val="21"/>
              </w:rPr>
            </w:pPr>
          </w:p>
        </w:tc>
        <w:tc>
          <w:tcPr>
            <w:tcW w:w="9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打印审计</w:t>
            </w:r>
          </w:p>
        </w:tc>
        <w:tc>
          <w:tcPr>
            <w:tcW w:w="34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监控终端的打印行为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82" w:type="pct"/>
            <w:vMerge w:val="continue"/>
            <w:vAlign w:val="center"/>
          </w:tcPr>
          <w:p>
            <w:pPr>
              <w:adjustRightInd w:val="0"/>
              <w:snapToGrid w:val="0"/>
              <w:jc w:val="center"/>
              <w:rPr>
                <w:rFonts w:ascii="宋体" w:hAnsi="宋体"/>
                <w:color w:val="000000" w:themeColor="text1"/>
                <w:szCs w:val="21"/>
              </w:rPr>
            </w:pPr>
          </w:p>
        </w:tc>
        <w:tc>
          <w:tcPr>
            <w:tcW w:w="9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刻录审计</w:t>
            </w:r>
          </w:p>
        </w:tc>
        <w:tc>
          <w:tcPr>
            <w:tcW w:w="34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监控终端的文件光盘刻录行为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82" w:type="pct"/>
            <w:vMerge w:val="continue"/>
            <w:vAlign w:val="center"/>
          </w:tcPr>
          <w:p>
            <w:pPr>
              <w:adjustRightInd w:val="0"/>
              <w:snapToGrid w:val="0"/>
              <w:jc w:val="center"/>
              <w:rPr>
                <w:rFonts w:ascii="宋体" w:hAnsi="宋体"/>
                <w:color w:val="000000" w:themeColor="text1"/>
                <w:szCs w:val="21"/>
              </w:rPr>
            </w:pPr>
          </w:p>
        </w:tc>
        <w:tc>
          <w:tcPr>
            <w:tcW w:w="9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外围接口控制</w:t>
            </w:r>
          </w:p>
        </w:tc>
        <w:tc>
          <w:tcPr>
            <w:tcW w:w="34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禁止终端使用USB设备，包括光驱、USB、打印机等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82" w:type="pct"/>
            <w:vMerge w:val="restart"/>
            <w:vAlign w:val="center"/>
          </w:tcPr>
          <w:p>
            <w:pPr>
              <w:adjustRightInd w:val="0"/>
              <w:snapToGrid w:val="0"/>
              <w:jc w:val="center"/>
              <w:rPr>
                <w:rFonts w:ascii="宋体" w:hAnsi="宋体"/>
                <w:color w:val="000000" w:themeColor="text1"/>
                <w:szCs w:val="21"/>
              </w:rPr>
            </w:pPr>
            <w:r>
              <w:rPr>
                <w:rFonts w:hint="eastAsia" w:ascii="宋体" w:hAnsi="宋体"/>
                <w:color w:val="000000" w:themeColor="text1"/>
                <w:szCs w:val="21"/>
              </w:rPr>
              <w:t>网络审计</w:t>
            </w:r>
          </w:p>
        </w:tc>
        <w:tc>
          <w:tcPr>
            <w:tcW w:w="9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端口审计</w:t>
            </w:r>
          </w:p>
        </w:tc>
        <w:tc>
          <w:tcPr>
            <w:tcW w:w="34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对终端端口进行黑白名单监控，阻断黑名单端口监听行为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82" w:type="pct"/>
            <w:vMerge w:val="continue"/>
            <w:vAlign w:val="center"/>
          </w:tcPr>
          <w:p>
            <w:pPr>
              <w:adjustRightInd w:val="0"/>
              <w:snapToGrid w:val="0"/>
              <w:jc w:val="center"/>
              <w:rPr>
                <w:rFonts w:ascii="宋体" w:hAnsi="宋体"/>
                <w:color w:val="000000" w:themeColor="text1"/>
                <w:szCs w:val="21"/>
              </w:rPr>
            </w:pPr>
          </w:p>
        </w:tc>
        <w:tc>
          <w:tcPr>
            <w:tcW w:w="9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网络连接审计</w:t>
            </w:r>
          </w:p>
        </w:tc>
        <w:tc>
          <w:tcPr>
            <w:tcW w:w="3409" w:type="pct"/>
            <w:vAlign w:val="center"/>
          </w:tcPr>
          <w:p>
            <w:pPr>
              <w:spacing w:before="100" w:beforeAutospacing="1" w:after="100" w:afterAutospacing="1"/>
              <w:rPr>
                <w:rFonts w:ascii="宋体" w:hAnsi="宋体" w:cs="宋体"/>
                <w:color w:val="000000" w:themeColor="text1"/>
                <w:szCs w:val="21"/>
              </w:rPr>
            </w:pPr>
            <w:r>
              <w:rPr>
                <w:rFonts w:hint="eastAsia" w:ascii="宋体" w:hAnsi="宋体" w:cs="宋体"/>
                <w:color w:val="000000" w:themeColor="text1"/>
                <w:szCs w:val="21"/>
              </w:rPr>
              <w:t>对终端</w:t>
            </w:r>
            <w:r>
              <w:rPr>
                <w:rFonts w:ascii="宋体" w:hAnsi="宋体" w:cs="宋体"/>
                <w:color w:val="000000" w:themeColor="text1"/>
                <w:szCs w:val="21"/>
              </w:rPr>
              <w:t>网络</w:t>
            </w:r>
            <w:r>
              <w:rPr>
                <w:rFonts w:hint="eastAsia" w:ascii="宋体" w:hAnsi="宋体" w:cs="宋体"/>
                <w:color w:val="000000" w:themeColor="text1"/>
                <w:szCs w:val="21"/>
              </w:rPr>
              <w:t>连接</w:t>
            </w:r>
            <w:r>
              <w:rPr>
                <w:rFonts w:ascii="宋体" w:hAnsi="宋体" w:cs="宋体"/>
                <w:color w:val="000000" w:themeColor="text1"/>
                <w:szCs w:val="21"/>
              </w:rPr>
              <w:t>行为</w:t>
            </w:r>
            <w:r>
              <w:rPr>
                <w:rFonts w:hint="eastAsia" w:ascii="宋体" w:hAnsi="宋体" w:cs="宋体"/>
                <w:color w:val="000000" w:themeColor="text1"/>
                <w:szCs w:val="21"/>
              </w:rPr>
              <w:t>进行</w:t>
            </w:r>
            <w:r>
              <w:rPr>
                <w:rFonts w:ascii="宋体" w:hAnsi="宋体" w:cs="宋体"/>
                <w:color w:val="000000" w:themeColor="text1"/>
                <w:szCs w:val="21"/>
              </w:rPr>
              <w:t>黑</w:t>
            </w:r>
            <w:r>
              <w:rPr>
                <w:rFonts w:hint="eastAsia" w:ascii="宋体" w:hAnsi="宋体" w:cs="宋体"/>
                <w:color w:val="000000" w:themeColor="text1"/>
                <w:szCs w:val="21"/>
              </w:rPr>
              <w:t>/</w:t>
            </w:r>
            <w:r>
              <w:rPr>
                <w:rFonts w:ascii="宋体" w:hAnsi="宋体" w:cs="宋体"/>
                <w:color w:val="000000" w:themeColor="text1"/>
                <w:szCs w:val="21"/>
              </w:rPr>
              <w:t>白</w:t>
            </w:r>
            <w:r>
              <w:rPr>
                <w:rFonts w:hint="eastAsia" w:ascii="宋体" w:hAnsi="宋体" w:cs="宋体"/>
                <w:color w:val="000000" w:themeColor="text1"/>
                <w:szCs w:val="21"/>
              </w:rPr>
              <w:t>名</w:t>
            </w:r>
            <w:r>
              <w:rPr>
                <w:rFonts w:ascii="宋体" w:hAnsi="宋体" w:cs="宋体"/>
                <w:color w:val="000000" w:themeColor="text1"/>
                <w:szCs w:val="21"/>
              </w:rPr>
              <w:t>单式的管理。按网络五元组（</w:t>
            </w:r>
            <w:r>
              <w:rPr>
                <w:rFonts w:hint="eastAsia" w:ascii="宋体" w:hAnsi="宋体" w:cs="宋体"/>
                <w:color w:val="000000" w:themeColor="text1"/>
                <w:szCs w:val="21"/>
              </w:rPr>
              <w:t>协议</w:t>
            </w:r>
            <w:r>
              <w:rPr>
                <w:rFonts w:ascii="宋体" w:hAnsi="宋体" w:cs="宋体"/>
                <w:color w:val="000000" w:themeColor="text1"/>
                <w:szCs w:val="21"/>
              </w:rPr>
              <w:t>、源</w:t>
            </w:r>
            <w:r>
              <w:rPr>
                <w:rFonts w:hint="eastAsia" w:ascii="宋体" w:hAnsi="宋体" w:cs="宋体"/>
                <w:color w:val="000000" w:themeColor="text1"/>
                <w:szCs w:val="21"/>
              </w:rPr>
              <w:t>IP、</w:t>
            </w:r>
            <w:r>
              <w:rPr>
                <w:rFonts w:ascii="宋体" w:hAnsi="宋体" w:cs="宋体"/>
                <w:color w:val="000000" w:themeColor="text1"/>
                <w:szCs w:val="21"/>
              </w:rPr>
              <w:t>源端口</w:t>
            </w:r>
            <w:r>
              <w:rPr>
                <w:rFonts w:hint="eastAsia" w:ascii="宋体" w:hAnsi="宋体" w:cs="宋体"/>
                <w:color w:val="000000" w:themeColor="text1"/>
                <w:szCs w:val="21"/>
              </w:rPr>
              <w:t>、</w:t>
            </w:r>
            <w:r>
              <w:rPr>
                <w:rFonts w:ascii="宋体" w:hAnsi="宋体" w:cs="宋体"/>
                <w:color w:val="000000" w:themeColor="text1"/>
                <w:szCs w:val="21"/>
              </w:rPr>
              <w:t>目的</w:t>
            </w:r>
            <w:r>
              <w:rPr>
                <w:rFonts w:hint="eastAsia" w:ascii="宋体" w:hAnsi="宋体" w:cs="宋体"/>
                <w:color w:val="000000" w:themeColor="text1"/>
                <w:szCs w:val="21"/>
              </w:rPr>
              <w:t>IP、</w:t>
            </w:r>
            <w:r>
              <w:rPr>
                <w:rFonts w:ascii="宋体" w:hAnsi="宋体" w:cs="宋体"/>
                <w:color w:val="000000" w:themeColor="text1"/>
                <w:szCs w:val="21"/>
              </w:rPr>
              <w:t>目的端口）</w:t>
            </w:r>
            <w:r>
              <w:rPr>
                <w:rFonts w:hint="eastAsia" w:ascii="宋体" w:hAnsi="宋体" w:cs="宋体"/>
                <w:color w:val="000000" w:themeColor="text1"/>
                <w:szCs w:val="21"/>
              </w:rPr>
              <w:t>等</w:t>
            </w:r>
            <w:r>
              <w:rPr>
                <w:rFonts w:ascii="宋体" w:hAnsi="宋体" w:cs="宋体"/>
                <w:color w:val="000000" w:themeColor="text1"/>
                <w:szCs w:val="21"/>
              </w:rPr>
              <w:t>信息，对网络行为进行审计</w:t>
            </w:r>
            <w:r>
              <w:rPr>
                <w:rFonts w:hint="eastAsia" w:ascii="宋体" w:hAnsi="宋体" w:cs="宋体"/>
                <w:color w:val="000000" w:themeColor="text1"/>
                <w:szCs w:val="21"/>
              </w:rPr>
              <w:t>，</w:t>
            </w:r>
            <w:r>
              <w:rPr>
                <w:rFonts w:ascii="宋体" w:hAnsi="宋体" w:cs="宋体"/>
                <w:color w:val="000000" w:themeColor="text1"/>
                <w:szCs w:val="21"/>
              </w:rPr>
              <w:t>支持</w:t>
            </w:r>
            <w:r>
              <w:rPr>
                <w:rFonts w:hint="eastAsia" w:ascii="宋体" w:hAnsi="宋体" w:cs="宋体"/>
                <w:color w:val="000000" w:themeColor="text1"/>
                <w:szCs w:val="21"/>
              </w:rPr>
              <w:t>TCP、UDP、ICMP等网络</w:t>
            </w:r>
            <w:r>
              <w:rPr>
                <w:rFonts w:ascii="宋体" w:hAnsi="宋体" w:cs="宋体"/>
                <w:color w:val="000000" w:themeColor="text1"/>
                <w:szCs w:val="21"/>
              </w:rPr>
              <w:t>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82" w:type="pct"/>
            <w:vMerge w:val="continue"/>
            <w:vAlign w:val="center"/>
          </w:tcPr>
          <w:p>
            <w:pPr>
              <w:adjustRightInd w:val="0"/>
              <w:snapToGrid w:val="0"/>
              <w:jc w:val="center"/>
              <w:rPr>
                <w:rFonts w:ascii="宋体" w:hAnsi="宋体"/>
                <w:color w:val="000000" w:themeColor="text1"/>
                <w:szCs w:val="21"/>
              </w:rPr>
            </w:pPr>
          </w:p>
        </w:tc>
        <w:tc>
          <w:tcPr>
            <w:tcW w:w="9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网络限制</w:t>
            </w:r>
          </w:p>
        </w:tc>
        <w:tc>
          <w:tcPr>
            <w:tcW w:w="34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限制终端与未受控主机的连接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82" w:type="pct"/>
            <w:vAlign w:val="center"/>
          </w:tcPr>
          <w:p>
            <w:pPr>
              <w:adjustRightInd w:val="0"/>
              <w:snapToGrid w:val="0"/>
              <w:jc w:val="center"/>
              <w:rPr>
                <w:rFonts w:ascii="宋体" w:hAnsi="宋体"/>
                <w:color w:val="000000" w:themeColor="text1"/>
                <w:szCs w:val="21"/>
              </w:rPr>
            </w:pPr>
            <w:r>
              <w:rPr>
                <w:rFonts w:hint="eastAsia" w:ascii="宋体" w:hAnsi="宋体"/>
                <w:color w:val="000000" w:themeColor="text1"/>
                <w:szCs w:val="21"/>
              </w:rPr>
              <w:t>文件审计</w:t>
            </w:r>
          </w:p>
        </w:tc>
        <w:tc>
          <w:tcPr>
            <w:tcW w:w="9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文档审计</w:t>
            </w:r>
          </w:p>
        </w:tc>
        <w:tc>
          <w:tcPr>
            <w:tcW w:w="34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对终端的文件操作行为进行审计，操作类型包括：</w:t>
            </w:r>
            <w:r>
              <w:rPr>
                <w:rFonts w:hint="eastAsia" w:ascii="宋体" w:hAnsi="宋体" w:cs="宋体"/>
                <w:color w:val="000000" w:themeColor="text1"/>
                <w:szCs w:val="21"/>
              </w:rPr>
              <w:t>修改、复制从、复制到、重命名（同盘剪切）和删除；文件存储位置包括本地磁盘、移动硬盘、</w:t>
            </w:r>
            <w:r>
              <w:rPr>
                <w:rFonts w:ascii="宋体" w:hAnsi="宋体" w:cs="宋体"/>
                <w:color w:val="000000" w:themeColor="text1"/>
                <w:szCs w:val="21"/>
              </w:rPr>
              <w:t>U</w:t>
            </w:r>
            <w:r>
              <w:rPr>
                <w:rFonts w:hint="eastAsia" w:ascii="宋体" w:hAnsi="宋体" w:cs="宋体"/>
                <w:color w:val="000000" w:themeColor="text1"/>
                <w:szCs w:val="21"/>
              </w:rPr>
              <w:t>盘、红盘和网络共享；文件类型包括：文件、扩展名及目录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82" w:type="pct"/>
            <w:vAlign w:val="center"/>
          </w:tcPr>
          <w:p>
            <w:pPr>
              <w:adjustRightInd w:val="0"/>
              <w:snapToGrid w:val="0"/>
              <w:jc w:val="center"/>
              <w:rPr>
                <w:rFonts w:ascii="宋体" w:hAnsi="宋体"/>
                <w:color w:val="000000" w:themeColor="text1"/>
                <w:szCs w:val="21"/>
              </w:rPr>
            </w:pPr>
            <w:r>
              <w:rPr>
                <w:rFonts w:hint="eastAsia" w:ascii="宋体" w:hAnsi="宋体"/>
                <w:color w:val="000000" w:themeColor="text1"/>
                <w:szCs w:val="21"/>
              </w:rPr>
              <w:t>系统安全审计</w:t>
            </w:r>
          </w:p>
        </w:tc>
        <w:tc>
          <w:tcPr>
            <w:tcW w:w="9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系统安全审计</w:t>
            </w:r>
          </w:p>
        </w:tc>
        <w:tc>
          <w:tcPr>
            <w:tcW w:w="3409" w:type="pct"/>
            <w:vAlign w:val="center"/>
          </w:tcPr>
          <w:p>
            <w:pPr>
              <w:spacing w:before="100" w:beforeAutospacing="1" w:after="100" w:afterAutospacing="1"/>
              <w:rPr>
                <w:rFonts w:ascii="宋体" w:hAnsi="宋体"/>
                <w:color w:val="000000" w:themeColor="text1"/>
                <w:szCs w:val="21"/>
              </w:rPr>
            </w:pPr>
            <w:r>
              <w:rPr>
                <w:rFonts w:hint="eastAsia" w:ascii="宋体" w:hAnsi="宋体" w:cs="宋体"/>
                <w:color w:val="000000" w:themeColor="text1"/>
                <w:szCs w:val="21"/>
              </w:rPr>
              <w:t>审计国产版操作系统安全相关的事件，包括软件安装卸载事件、安全策略变更事件、可执行程序加载事件、违反操作系统访问控制策略、身份鉴别、安全审计相关事件、其他系统安全事件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82" w:type="pct"/>
            <w:vMerge w:val="restart"/>
            <w:vAlign w:val="center"/>
          </w:tcPr>
          <w:p>
            <w:pPr>
              <w:adjustRightInd w:val="0"/>
              <w:snapToGrid w:val="0"/>
              <w:jc w:val="center"/>
              <w:rPr>
                <w:rFonts w:ascii="宋体" w:hAnsi="宋体"/>
                <w:color w:val="000000" w:themeColor="text1"/>
                <w:szCs w:val="21"/>
              </w:rPr>
            </w:pPr>
            <w:r>
              <w:rPr>
                <w:rFonts w:hint="eastAsia" w:ascii="宋体" w:hAnsi="宋体"/>
                <w:color w:val="000000" w:themeColor="text1"/>
                <w:szCs w:val="21"/>
              </w:rPr>
              <w:t>进程审计</w:t>
            </w:r>
          </w:p>
        </w:tc>
        <w:tc>
          <w:tcPr>
            <w:tcW w:w="9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进程流量审计</w:t>
            </w:r>
          </w:p>
        </w:tc>
        <w:tc>
          <w:tcPr>
            <w:tcW w:w="3409" w:type="pct"/>
            <w:vAlign w:val="center"/>
          </w:tcPr>
          <w:p>
            <w:pPr>
              <w:spacing w:before="100" w:beforeAutospacing="1" w:after="100" w:afterAutospacing="1"/>
              <w:rPr>
                <w:rFonts w:ascii="宋体" w:hAnsi="宋体" w:cs="宋体"/>
                <w:color w:val="000000" w:themeColor="text1"/>
                <w:szCs w:val="21"/>
              </w:rPr>
            </w:pPr>
            <w:r>
              <w:rPr>
                <w:rFonts w:hint="eastAsia" w:ascii="宋体" w:hAnsi="宋体" w:cs="宋体"/>
                <w:color w:val="000000" w:themeColor="text1"/>
                <w:szCs w:val="21"/>
              </w:rPr>
              <w:t>对终端进程的上传流量、下载流量进行监控，当上传流量或下载流量超出策略配置的阈值时，将产生审计日志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82" w:type="pct"/>
            <w:vMerge w:val="continue"/>
            <w:vAlign w:val="center"/>
          </w:tcPr>
          <w:p>
            <w:pPr>
              <w:adjustRightInd w:val="0"/>
              <w:snapToGrid w:val="0"/>
              <w:jc w:val="center"/>
              <w:rPr>
                <w:rFonts w:ascii="宋体" w:hAnsi="宋体"/>
                <w:color w:val="000000" w:themeColor="text1"/>
                <w:szCs w:val="21"/>
              </w:rPr>
            </w:pPr>
          </w:p>
        </w:tc>
        <w:tc>
          <w:tcPr>
            <w:tcW w:w="9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进程基础审计</w:t>
            </w:r>
          </w:p>
        </w:tc>
        <w:tc>
          <w:tcPr>
            <w:tcW w:w="3409" w:type="pct"/>
            <w:vAlign w:val="center"/>
          </w:tcPr>
          <w:p>
            <w:pPr>
              <w:spacing w:before="100" w:beforeAutospacing="1" w:after="100" w:afterAutospacing="1"/>
              <w:rPr>
                <w:rFonts w:ascii="宋体" w:hAnsi="宋体" w:cs="宋体"/>
                <w:color w:val="000000" w:themeColor="text1"/>
                <w:szCs w:val="21"/>
              </w:rPr>
            </w:pPr>
            <w:r>
              <w:rPr>
                <w:rFonts w:hint="eastAsia" w:ascii="宋体" w:hAnsi="宋体" w:cs="宋体"/>
                <w:color w:val="000000" w:themeColor="text1"/>
                <w:szCs w:val="21"/>
              </w:rPr>
              <w:t>对终端运行的系统进程进行监控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82" w:type="pct"/>
            <w:vMerge w:val="continue"/>
            <w:vAlign w:val="center"/>
          </w:tcPr>
          <w:p>
            <w:pPr>
              <w:adjustRightInd w:val="0"/>
              <w:snapToGrid w:val="0"/>
              <w:jc w:val="center"/>
              <w:rPr>
                <w:rFonts w:ascii="宋体" w:hAnsi="宋体"/>
                <w:color w:val="000000" w:themeColor="text1"/>
                <w:szCs w:val="21"/>
              </w:rPr>
            </w:pPr>
          </w:p>
        </w:tc>
        <w:tc>
          <w:tcPr>
            <w:tcW w:w="9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进程行为审计</w:t>
            </w:r>
          </w:p>
        </w:tc>
        <w:tc>
          <w:tcPr>
            <w:tcW w:w="3409" w:type="pct"/>
            <w:vAlign w:val="center"/>
          </w:tcPr>
          <w:p>
            <w:pPr>
              <w:spacing w:before="100" w:beforeAutospacing="1" w:after="100" w:afterAutospacing="1"/>
              <w:rPr>
                <w:rFonts w:ascii="宋体" w:hAnsi="宋体" w:cs="宋体"/>
                <w:color w:val="000000" w:themeColor="text1"/>
                <w:szCs w:val="21"/>
              </w:rPr>
            </w:pPr>
            <w:r>
              <w:rPr>
                <w:rFonts w:hint="eastAsia" w:ascii="宋体" w:hAnsi="宋体" w:cs="宋体"/>
                <w:color w:val="000000" w:themeColor="text1"/>
                <w:szCs w:val="21"/>
              </w:rPr>
              <w:t>对指定进程做进程信息采集，包括创建的子进程信息、对文件操作的信息、进程的网络行信息等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82" w:type="pct"/>
            <w:vMerge w:val="continue"/>
            <w:vAlign w:val="center"/>
          </w:tcPr>
          <w:p>
            <w:pPr>
              <w:adjustRightInd w:val="0"/>
              <w:snapToGrid w:val="0"/>
              <w:jc w:val="center"/>
              <w:rPr>
                <w:rFonts w:ascii="宋体" w:hAnsi="宋体"/>
                <w:color w:val="000000" w:themeColor="text1"/>
                <w:szCs w:val="21"/>
              </w:rPr>
            </w:pPr>
          </w:p>
        </w:tc>
        <w:tc>
          <w:tcPr>
            <w:tcW w:w="9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进程控制</w:t>
            </w:r>
          </w:p>
        </w:tc>
        <w:tc>
          <w:tcPr>
            <w:tcW w:w="3409" w:type="pct"/>
            <w:vAlign w:val="center"/>
          </w:tcPr>
          <w:p>
            <w:pPr>
              <w:spacing w:before="100" w:beforeAutospacing="1" w:after="100" w:afterAutospacing="1"/>
              <w:rPr>
                <w:rFonts w:ascii="宋体" w:hAnsi="宋体" w:cs="宋体"/>
                <w:color w:val="000000" w:themeColor="text1"/>
                <w:szCs w:val="21"/>
              </w:rPr>
            </w:pPr>
            <w:r>
              <w:rPr>
                <w:rFonts w:hint="eastAsia" w:ascii="宋体" w:hAnsi="宋体" w:cs="宋体"/>
                <w:color w:val="000000" w:themeColor="text1"/>
                <w:szCs w:val="21"/>
              </w:rPr>
              <w:t xml:space="preserve">对指定进程做应启动和应关闭控制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82" w:type="pct"/>
            <w:vMerge w:val="restart"/>
            <w:vAlign w:val="center"/>
          </w:tcPr>
          <w:p>
            <w:pPr>
              <w:adjustRightInd w:val="0"/>
              <w:snapToGrid w:val="0"/>
              <w:jc w:val="center"/>
              <w:rPr>
                <w:rFonts w:ascii="宋体" w:hAnsi="宋体"/>
                <w:color w:val="000000" w:themeColor="text1"/>
                <w:szCs w:val="21"/>
              </w:rPr>
            </w:pPr>
            <w:r>
              <w:rPr>
                <w:rFonts w:hint="eastAsia" w:ascii="宋体" w:hAnsi="宋体"/>
                <w:color w:val="000000" w:themeColor="text1"/>
                <w:szCs w:val="21"/>
              </w:rPr>
              <w:t>系统服务审计</w:t>
            </w:r>
          </w:p>
        </w:tc>
        <w:tc>
          <w:tcPr>
            <w:tcW w:w="9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服务监控审计</w:t>
            </w:r>
          </w:p>
        </w:tc>
        <w:tc>
          <w:tcPr>
            <w:tcW w:w="3409" w:type="pct"/>
            <w:vAlign w:val="center"/>
          </w:tcPr>
          <w:p>
            <w:pPr>
              <w:spacing w:before="100" w:beforeAutospacing="1" w:after="100" w:afterAutospacing="1"/>
              <w:rPr>
                <w:rFonts w:ascii="宋体" w:hAnsi="宋体"/>
                <w:color w:val="000000" w:themeColor="text1"/>
                <w:szCs w:val="21"/>
              </w:rPr>
            </w:pPr>
            <w:r>
              <w:rPr>
                <w:rFonts w:hint="eastAsia" w:ascii="宋体" w:hAnsi="宋体" w:cs="宋体"/>
                <w:color w:val="000000" w:themeColor="text1"/>
                <w:szCs w:val="21"/>
              </w:rPr>
              <w:t>对终端上的系统服务进行监控，包括开启和关闭配置的服务，并将信息记入审计日志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82" w:type="pct"/>
            <w:vMerge w:val="continue"/>
            <w:vAlign w:val="center"/>
          </w:tcPr>
          <w:p>
            <w:pPr>
              <w:adjustRightInd w:val="0"/>
              <w:snapToGrid w:val="0"/>
              <w:jc w:val="center"/>
              <w:rPr>
                <w:rFonts w:ascii="宋体" w:hAnsi="宋体"/>
                <w:color w:val="000000" w:themeColor="text1"/>
                <w:szCs w:val="21"/>
              </w:rPr>
            </w:pPr>
          </w:p>
        </w:tc>
        <w:tc>
          <w:tcPr>
            <w:tcW w:w="9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时间同步</w:t>
            </w:r>
          </w:p>
        </w:tc>
        <w:tc>
          <w:tcPr>
            <w:tcW w:w="3409" w:type="pct"/>
            <w:vAlign w:val="center"/>
          </w:tcPr>
          <w:p>
            <w:pPr>
              <w:spacing w:before="100" w:beforeAutospacing="1" w:after="100" w:afterAutospacing="1"/>
              <w:rPr>
                <w:rFonts w:ascii="宋体" w:hAnsi="宋体" w:cs="宋体"/>
                <w:color w:val="000000" w:themeColor="text1"/>
                <w:szCs w:val="21"/>
              </w:rPr>
            </w:pPr>
            <w:r>
              <w:rPr>
                <w:rFonts w:hint="eastAsia" w:ascii="宋体" w:hAnsi="宋体"/>
                <w:color w:val="000000" w:themeColor="text1"/>
                <w:szCs w:val="21"/>
              </w:rPr>
              <w:t>对终端时间进行同步，包括</w:t>
            </w:r>
            <w:r>
              <w:rPr>
                <w:rFonts w:ascii="宋体" w:hAnsi="宋体" w:cs="宋体"/>
                <w:color w:val="000000" w:themeColor="text1"/>
                <w:szCs w:val="21"/>
              </w:rPr>
              <w:t>系统时间监控类型</w:t>
            </w:r>
            <w:r>
              <w:rPr>
                <w:rFonts w:hint="eastAsia" w:ascii="宋体" w:hAnsi="宋体" w:cs="宋体"/>
                <w:color w:val="000000" w:themeColor="text1"/>
                <w:szCs w:val="21"/>
              </w:rPr>
              <w:t>：</w:t>
            </w:r>
            <w:r>
              <w:rPr>
                <w:rFonts w:hint="eastAsia" w:ascii="宋体" w:hAnsi="宋体"/>
                <w:color w:val="000000" w:themeColor="text1"/>
                <w:szCs w:val="21"/>
              </w:rPr>
              <w:t>按时间源进行同步（需填写时间源IP）、与服务器进行同步，时间同步监控类型：按间隔周期同步（需填写间隔周期）、按时间点同步（需填写具体时间）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82" w:type="pct"/>
            <w:vMerge w:val="continue"/>
            <w:vAlign w:val="center"/>
          </w:tcPr>
          <w:p>
            <w:pPr>
              <w:adjustRightInd w:val="0"/>
              <w:snapToGrid w:val="0"/>
              <w:jc w:val="center"/>
              <w:rPr>
                <w:rFonts w:ascii="宋体" w:hAnsi="宋体"/>
                <w:color w:val="000000" w:themeColor="text1"/>
                <w:szCs w:val="21"/>
              </w:rPr>
            </w:pPr>
          </w:p>
        </w:tc>
        <w:tc>
          <w:tcPr>
            <w:tcW w:w="9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开关机监控</w:t>
            </w:r>
          </w:p>
        </w:tc>
        <w:tc>
          <w:tcPr>
            <w:tcW w:w="34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对终端非授权时间开关机进行监控，监控类型包含：记录、不监控，当选择记录时，可勾选记录授权开关机行为，可选取开关机授权时间段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82" w:type="pct"/>
            <w:vMerge w:val="continue"/>
            <w:vAlign w:val="center"/>
          </w:tcPr>
          <w:p>
            <w:pPr>
              <w:adjustRightInd w:val="0"/>
              <w:snapToGrid w:val="0"/>
              <w:jc w:val="center"/>
              <w:rPr>
                <w:rFonts w:ascii="宋体" w:hAnsi="宋体"/>
                <w:color w:val="000000" w:themeColor="text1"/>
                <w:szCs w:val="21"/>
              </w:rPr>
            </w:pPr>
          </w:p>
        </w:tc>
        <w:tc>
          <w:tcPr>
            <w:tcW w:w="9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账户监控</w:t>
            </w:r>
          </w:p>
        </w:tc>
        <w:tc>
          <w:tcPr>
            <w:tcW w:w="34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监控终端账户变更情况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82" w:type="pct"/>
            <w:vMerge w:val="restart"/>
            <w:vAlign w:val="center"/>
          </w:tcPr>
          <w:p>
            <w:pPr>
              <w:adjustRightInd w:val="0"/>
              <w:snapToGrid w:val="0"/>
              <w:jc w:val="center"/>
              <w:rPr>
                <w:rFonts w:ascii="宋体" w:hAnsi="宋体"/>
                <w:color w:val="000000" w:themeColor="text1"/>
                <w:szCs w:val="21"/>
              </w:rPr>
            </w:pPr>
            <w:r>
              <w:rPr>
                <w:rFonts w:hint="eastAsia" w:ascii="宋体" w:hAnsi="宋体"/>
                <w:color w:val="000000" w:themeColor="text1"/>
                <w:szCs w:val="21"/>
              </w:rPr>
              <w:t>异常行为审计</w:t>
            </w:r>
          </w:p>
        </w:tc>
        <w:tc>
          <w:tcPr>
            <w:tcW w:w="9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A</w:t>
            </w:r>
            <w:r>
              <w:rPr>
                <w:rFonts w:ascii="宋体" w:hAnsi="宋体"/>
                <w:color w:val="000000" w:themeColor="text1"/>
                <w:szCs w:val="21"/>
              </w:rPr>
              <w:t>RP</w:t>
            </w:r>
            <w:r>
              <w:rPr>
                <w:rFonts w:hint="eastAsia" w:ascii="宋体" w:hAnsi="宋体"/>
                <w:color w:val="000000" w:themeColor="text1"/>
                <w:szCs w:val="21"/>
              </w:rPr>
              <w:t>监控审计</w:t>
            </w:r>
          </w:p>
        </w:tc>
        <w:tc>
          <w:tcPr>
            <w:tcW w:w="34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识别ARP攻击</w:t>
            </w:r>
            <w:r>
              <w:rPr>
                <w:rFonts w:ascii="宋体" w:hAnsi="宋体"/>
                <w:color w:val="000000" w:themeColor="text1"/>
                <w:szCs w:val="21"/>
              </w:rPr>
              <w:t>，同时可检测</w:t>
            </w:r>
            <w:r>
              <w:rPr>
                <w:rFonts w:hint="eastAsia" w:ascii="宋体" w:hAnsi="宋体"/>
                <w:color w:val="000000" w:themeColor="text1"/>
                <w:szCs w:val="21"/>
              </w:rPr>
              <w:t>IP地址</w:t>
            </w:r>
            <w:r>
              <w:rPr>
                <w:rFonts w:ascii="宋体" w:hAnsi="宋体"/>
                <w:color w:val="000000" w:themeColor="text1"/>
                <w:szCs w:val="21"/>
              </w:rPr>
              <w:t>冲突问题，可自定义防御机制，自动、手动绑定网关</w:t>
            </w:r>
            <w:r>
              <w:rPr>
                <w:rFonts w:hint="eastAsia" w:ascii="宋体" w:hAnsi="宋体"/>
                <w:color w:val="000000" w:themeColor="text1"/>
                <w:szCs w:val="21"/>
              </w:rPr>
              <w:t>IP/MA</w:t>
            </w:r>
            <w:r>
              <w:rPr>
                <w:rFonts w:ascii="宋体" w:hAnsi="宋体"/>
                <w:color w:val="000000" w:themeColor="text1"/>
                <w:szCs w:val="21"/>
              </w:rPr>
              <w:t>C</w:t>
            </w:r>
            <w:r>
              <w:rPr>
                <w:rFonts w:hint="eastAsia" w:ascii="宋体" w:hAnsi="宋体"/>
                <w:color w:val="000000" w:themeColor="text1"/>
                <w:szCs w:val="21"/>
              </w:rPr>
              <w:t>，</w:t>
            </w:r>
            <w:r>
              <w:rPr>
                <w:rFonts w:ascii="宋体" w:hAnsi="宋体"/>
                <w:color w:val="000000" w:themeColor="text1"/>
                <w:szCs w:val="21"/>
              </w:rPr>
              <w:t>对网关欺骗、一般欺骗、带宽</w:t>
            </w:r>
            <w:r>
              <w:rPr>
                <w:rFonts w:hint="eastAsia" w:ascii="宋体" w:hAnsi="宋体"/>
                <w:color w:val="000000" w:themeColor="text1"/>
                <w:szCs w:val="21"/>
              </w:rPr>
              <w:t>限制</w:t>
            </w:r>
            <w:r>
              <w:rPr>
                <w:rFonts w:ascii="宋体" w:hAnsi="宋体"/>
                <w:color w:val="000000" w:themeColor="text1"/>
                <w:szCs w:val="21"/>
              </w:rPr>
              <w:t>的行为进行审计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82" w:type="pct"/>
            <w:vMerge w:val="continue"/>
            <w:vAlign w:val="center"/>
          </w:tcPr>
          <w:p>
            <w:pPr>
              <w:adjustRightInd w:val="0"/>
              <w:snapToGrid w:val="0"/>
              <w:jc w:val="center"/>
              <w:rPr>
                <w:rFonts w:ascii="宋体" w:hAnsi="宋体"/>
                <w:color w:val="000000" w:themeColor="text1"/>
                <w:szCs w:val="21"/>
              </w:rPr>
            </w:pPr>
          </w:p>
        </w:tc>
        <w:tc>
          <w:tcPr>
            <w:tcW w:w="9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端口扫描</w:t>
            </w:r>
          </w:p>
        </w:tc>
        <w:tc>
          <w:tcPr>
            <w:tcW w:w="3409" w:type="pct"/>
            <w:vAlign w:val="center"/>
          </w:tcPr>
          <w:p>
            <w:pPr>
              <w:spacing w:before="100" w:beforeAutospacing="1" w:after="100" w:afterAutospacing="1"/>
              <w:rPr>
                <w:rFonts w:ascii="宋体" w:hAnsi="宋体"/>
                <w:color w:val="000000" w:themeColor="text1"/>
                <w:szCs w:val="21"/>
              </w:rPr>
            </w:pPr>
            <w:r>
              <w:rPr>
                <w:rFonts w:hint="eastAsia" w:ascii="宋体" w:hAnsi="宋体" w:cs="宋体"/>
                <w:color w:val="000000" w:themeColor="text1"/>
                <w:szCs w:val="21"/>
              </w:rPr>
              <w:t>对端口扫描的恶意行为进行检测，可配置是否防御功能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82" w:type="pct"/>
            <w:vMerge w:val="continue"/>
            <w:vAlign w:val="center"/>
          </w:tcPr>
          <w:p>
            <w:pPr>
              <w:adjustRightInd w:val="0"/>
              <w:snapToGrid w:val="0"/>
              <w:jc w:val="center"/>
              <w:rPr>
                <w:rFonts w:ascii="宋体" w:hAnsi="宋体"/>
                <w:color w:val="000000" w:themeColor="text1"/>
                <w:szCs w:val="21"/>
              </w:rPr>
            </w:pPr>
          </w:p>
        </w:tc>
        <w:tc>
          <w:tcPr>
            <w:tcW w:w="9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主机安全</w:t>
            </w:r>
          </w:p>
        </w:tc>
        <w:tc>
          <w:tcPr>
            <w:tcW w:w="3409" w:type="pct"/>
            <w:vAlign w:val="center"/>
          </w:tcPr>
          <w:p>
            <w:pPr>
              <w:spacing w:before="100" w:beforeAutospacing="1" w:after="100" w:afterAutospacing="1"/>
              <w:rPr>
                <w:rFonts w:ascii="宋体" w:hAnsi="宋体" w:cs="宋体"/>
                <w:color w:val="000000" w:themeColor="text1"/>
                <w:szCs w:val="21"/>
              </w:rPr>
            </w:pPr>
            <w:r>
              <w:rPr>
                <w:rFonts w:hint="eastAsia" w:ascii="宋体" w:hAnsi="宋体" w:cs="宋体"/>
                <w:color w:val="000000" w:themeColor="text1"/>
                <w:szCs w:val="21"/>
              </w:rPr>
              <w:t>对终端安全策略进行审计，包括密码长度、密码复杂度、密码口令周期、尝试失败次数、杀掉软件和关键目录安全策略配置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82" w:type="pct"/>
            <w:vMerge w:val="restart"/>
            <w:vAlign w:val="center"/>
          </w:tcPr>
          <w:p>
            <w:pPr>
              <w:adjustRightInd w:val="0"/>
              <w:snapToGrid w:val="0"/>
              <w:jc w:val="center"/>
              <w:rPr>
                <w:rFonts w:ascii="宋体" w:hAnsi="宋体"/>
                <w:color w:val="000000" w:themeColor="text1"/>
                <w:szCs w:val="21"/>
              </w:rPr>
            </w:pPr>
            <w:r>
              <w:rPr>
                <w:rFonts w:ascii="宋体" w:hAnsi="宋体"/>
                <w:color w:val="000000" w:themeColor="text1"/>
                <w:szCs w:val="21"/>
              </w:rPr>
              <w:t>系统管理</w:t>
            </w:r>
          </w:p>
        </w:tc>
        <w:tc>
          <w:tcPr>
            <w:tcW w:w="9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客户端软件自我保护</w:t>
            </w:r>
          </w:p>
        </w:tc>
        <w:tc>
          <w:tcPr>
            <w:tcW w:w="34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防止客户端软件被卸载或失效。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82" w:type="pct"/>
            <w:vMerge w:val="continue"/>
            <w:vAlign w:val="center"/>
          </w:tcPr>
          <w:p>
            <w:pPr>
              <w:adjustRightInd w:val="0"/>
              <w:snapToGrid w:val="0"/>
              <w:jc w:val="center"/>
              <w:rPr>
                <w:rFonts w:ascii="宋体" w:hAnsi="宋体"/>
                <w:color w:val="000000" w:themeColor="text1"/>
                <w:szCs w:val="21"/>
              </w:rPr>
            </w:pPr>
          </w:p>
        </w:tc>
        <w:tc>
          <w:tcPr>
            <w:tcW w:w="9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自动备份管理</w:t>
            </w:r>
          </w:p>
        </w:tc>
        <w:tc>
          <w:tcPr>
            <w:tcW w:w="34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具有自动备份功能，可根据需要自动执行备份任务，实现实时数据自动备份，有效防止数据丢失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82" w:type="pct"/>
            <w:vMerge w:val="continue"/>
            <w:vAlign w:val="center"/>
          </w:tcPr>
          <w:p>
            <w:pPr>
              <w:adjustRightInd w:val="0"/>
              <w:snapToGrid w:val="0"/>
              <w:jc w:val="center"/>
              <w:rPr>
                <w:rFonts w:ascii="宋体" w:hAnsi="宋体"/>
                <w:color w:val="000000" w:themeColor="text1"/>
                <w:szCs w:val="21"/>
              </w:rPr>
            </w:pPr>
          </w:p>
        </w:tc>
        <w:tc>
          <w:tcPr>
            <w:tcW w:w="909" w:type="pct"/>
            <w:vAlign w:val="center"/>
          </w:tcPr>
          <w:p>
            <w:pPr>
              <w:spacing w:before="100" w:beforeAutospacing="1" w:after="100" w:afterAutospacing="1"/>
              <w:rPr>
                <w:rFonts w:ascii="宋体" w:hAnsi="宋体"/>
                <w:color w:val="000000" w:themeColor="text1"/>
                <w:szCs w:val="21"/>
              </w:rPr>
            </w:pPr>
            <w:r>
              <w:rPr>
                <w:rFonts w:ascii="宋体" w:hAnsi="宋体"/>
                <w:color w:val="000000" w:themeColor="text1"/>
                <w:szCs w:val="21"/>
              </w:rPr>
              <w:t>S</w:t>
            </w:r>
            <w:r>
              <w:rPr>
                <w:rFonts w:hint="eastAsia" w:ascii="宋体" w:hAnsi="宋体"/>
                <w:color w:val="000000" w:themeColor="text1"/>
                <w:szCs w:val="21"/>
              </w:rPr>
              <w:t>yslog审计</w:t>
            </w:r>
          </w:p>
        </w:tc>
        <w:tc>
          <w:tcPr>
            <w:tcW w:w="3409" w:type="pct"/>
            <w:vAlign w:val="center"/>
          </w:tcPr>
          <w:p>
            <w:pPr>
              <w:spacing w:before="100" w:beforeAutospacing="1" w:after="100" w:afterAutospacing="1"/>
              <w:rPr>
                <w:rFonts w:ascii="宋体" w:hAnsi="宋体"/>
                <w:color w:val="000000" w:themeColor="text1"/>
                <w:szCs w:val="21"/>
              </w:rPr>
            </w:pPr>
            <w:r>
              <w:rPr>
                <w:rFonts w:hint="eastAsia" w:ascii="宋体" w:hAnsi="宋体" w:cs="宋体"/>
                <w:color w:val="000000" w:themeColor="text1"/>
                <w:szCs w:val="21"/>
              </w:rPr>
              <w:t>可将日志</w:t>
            </w:r>
            <w:r>
              <w:rPr>
                <w:rFonts w:ascii="宋体" w:hAnsi="宋体" w:cs="宋体"/>
                <w:color w:val="000000" w:themeColor="text1"/>
                <w:szCs w:val="21"/>
              </w:rPr>
              <w:t>发送第三方</w:t>
            </w:r>
            <w:r>
              <w:rPr>
                <w:rFonts w:hint="eastAsia" w:ascii="宋体" w:hAnsi="宋体" w:cs="宋体"/>
                <w:color w:val="000000" w:themeColor="text1"/>
                <w:szCs w:val="21"/>
              </w:rPr>
              <w:t>S</w:t>
            </w:r>
            <w:r>
              <w:rPr>
                <w:rFonts w:ascii="宋体" w:hAnsi="宋体" w:cs="宋体"/>
                <w:color w:val="000000" w:themeColor="text1"/>
                <w:szCs w:val="21"/>
              </w:rPr>
              <w:t>yslog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82" w:type="pct"/>
            <w:vAlign w:val="center"/>
          </w:tcPr>
          <w:p>
            <w:pPr>
              <w:adjustRightInd w:val="0"/>
              <w:snapToGrid w:val="0"/>
              <w:jc w:val="center"/>
              <w:rPr>
                <w:rFonts w:ascii="宋体" w:hAnsi="宋体"/>
                <w:color w:val="000000" w:themeColor="text1"/>
                <w:szCs w:val="21"/>
              </w:rPr>
            </w:pPr>
            <w:r>
              <w:rPr>
                <w:rFonts w:ascii="宋体" w:hAnsi="宋体"/>
                <w:color w:val="000000" w:themeColor="text1"/>
                <w:szCs w:val="21"/>
              </w:rPr>
              <w:t>终端管理</w:t>
            </w:r>
          </w:p>
        </w:tc>
        <w:tc>
          <w:tcPr>
            <w:tcW w:w="9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▲主机信息获取</w:t>
            </w:r>
          </w:p>
        </w:tc>
        <w:tc>
          <w:tcPr>
            <w:tcW w:w="3409" w:type="pct"/>
            <w:vAlign w:val="center"/>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能够获取终端的资产信息，包括</w:t>
            </w:r>
            <w:r>
              <w:rPr>
                <w:rFonts w:hint="eastAsia" w:ascii="宋体" w:hAnsi="宋体" w:cs="宋体"/>
                <w:color w:val="000000" w:themeColor="text1"/>
                <w:szCs w:val="21"/>
              </w:rPr>
              <w:t>系统信息、资源性能信息、进程信息、服务信息、系统事件信息、共享目录信息、网络连接信息、浏览器访问信息、帐户信息和最近下发的策略信息。其中在进程信息中能够关闭某个进程的运行，在共享目录中能够关闭某个共享的目录</w:t>
            </w:r>
            <w:r>
              <w:rPr>
                <w:rFonts w:hint="eastAsia" w:ascii="宋体" w:hAnsi="宋体"/>
                <w:color w:val="000000" w:themeColor="text1"/>
                <w:szCs w:val="21"/>
              </w:rPr>
              <w:t>（提供界面截图证明加盖原厂商公章）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pct"/>
            <w:vAlign w:val="center"/>
          </w:tcPr>
          <w:p>
            <w:pPr>
              <w:adjustRightInd w:val="0"/>
              <w:snapToGrid w:val="0"/>
              <w:rPr>
                <w:rFonts w:ascii="宋体" w:hAnsi="宋体"/>
                <w:color w:val="000000" w:themeColor="text1"/>
                <w:szCs w:val="21"/>
              </w:rPr>
            </w:pPr>
            <w:r>
              <w:rPr>
                <w:rFonts w:hint="eastAsia" w:ascii="宋体" w:hAnsi="宋体"/>
                <w:color w:val="000000" w:themeColor="text1"/>
                <w:szCs w:val="21"/>
              </w:rPr>
              <w:t>日志报警、查询功能</w:t>
            </w:r>
          </w:p>
        </w:tc>
        <w:tc>
          <w:tcPr>
            <w:tcW w:w="4318" w:type="pct"/>
            <w:gridSpan w:val="2"/>
          </w:tcPr>
          <w:p>
            <w:pPr>
              <w:spacing w:before="100" w:beforeAutospacing="1" w:after="100" w:afterAutospacing="1"/>
              <w:rPr>
                <w:rFonts w:ascii="宋体" w:hAnsi="宋体"/>
                <w:color w:val="000000" w:themeColor="text1"/>
                <w:szCs w:val="21"/>
              </w:rPr>
            </w:pPr>
            <w:r>
              <w:rPr>
                <w:rFonts w:hint="eastAsia" w:ascii="宋体" w:hAnsi="宋体"/>
                <w:color w:val="000000" w:themeColor="text1"/>
                <w:szCs w:val="21"/>
              </w:rPr>
              <w:t>支持日志信息报警、查询功能，管理员能够通过输入时间、所在模块、级别、日志类型等查询条件，对所有日志进行分类查找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pct"/>
            <w:vAlign w:val="center"/>
          </w:tcPr>
          <w:p>
            <w:pPr>
              <w:adjustRightInd w:val="0"/>
              <w:snapToGrid w:val="0"/>
              <w:rPr>
                <w:rFonts w:ascii="宋体" w:hAnsi="宋体"/>
                <w:color w:val="000000" w:themeColor="text1"/>
                <w:szCs w:val="21"/>
              </w:rPr>
            </w:pPr>
            <w:r>
              <w:rPr>
                <w:rFonts w:hint="eastAsia" w:ascii="宋体" w:hAnsi="宋体"/>
                <w:color w:val="000000" w:themeColor="text1"/>
                <w:szCs w:val="21"/>
              </w:rPr>
              <w:t>▲产品证书</w:t>
            </w:r>
          </w:p>
        </w:tc>
        <w:tc>
          <w:tcPr>
            <w:tcW w:w="4318" w:type="pct"/>
            <w:gridSpan w:val="2"/>
            <w:vAlign w:val="center"/>
          </w:tcPr>
          <w:p>
            <w:pPr>
              <w:rPr>
                <w:rFonts w:ascii="宋体" w:hAnsi="宋体"/>
                <w:color w:val="000000" w:themeColor="text1"/>
                <w:szCs w:val="21"/>
              </w:rPr>
            </w:pPr>
            <w:r>
              <w:rPr>
                <w:rFonts w:ascii="宋体" w:hAnsi="宋体"/>
                <w:color w:val="000000" w:themeColor="text1"/>
                <w:szCs w:val="21"/>
              </w:rPr>
              <w:t>1）公安部《计算机信息系统安全专用产品销售许可证》（三级）</w:t>
            </w:r>
          </w:p>
          <w:p>
            <w:pPr>
              <w:adjustRightInd w:val="0"/>
              <w:snapToGrid w:val="0"/>
              <w:rPr>
                <w:rFonts w:ascii="宋体" w:hAnsi="宋体"/>
                <w:color w:val="000000" w:themeColor="text1"/>
                <w:szCs w:val="21"/>
              </w:rPr>
            </w:pPr>
            <w:r>
              <w:rPr>
                <w:rFonts w:ascii="宋体" w:hAnsi="宋体"/>
                <w:color w:val="000000" w:themeColor="text1"/>
                <w:szCs w:val="21"/>
              </w:rPr>
              <w:t>2）产品具有国家保密局《涉密信息系统产品检测证书》</w:t>
            </w:r>
          </w:p>
        </w:tc>
      </w:tr>
    </w:tbl>
    <w:p>
      <w:pPr>
        <w:pStyle w:val="3"/>
        <w:numPr>
          <w:ilvl w:val="2"/>
          <w:numId w:val="0"/>
        </w:numPr>
        <w:spacing w:line="360" w:lineRule="auto"/>
        <w:ind w:left="720" w:hanging="720"/>
        <w:rPr>
          <w:color w:val="000000" w:themeColor="text1"/>
        </w:rPr>
      </w:pPr>
      <w:r>
        <w:rPr>
          <w:rFonts w:hint="eastAsia"/>
          <w:color w:val="000000" w:themeColor="text1"/>
        </w:rPr>
        <w:t>中间机数据交换系统模块功能要求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7"/>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宋体" w:hAnsi="宋体"/>
                <w:b/>
                <w:bCs/>
                <w:color w:val="000000" w:themeColor="text1"/>
                <w:kern w:val="0"/>
                <w:sz w:val="21"/>
                <w:szCs w:val="21"/>
              </w:rPr>
            </w:pPr>
            <w:r>
              <w:rPr>
                <w:rFonts w:hint="eastAsia" w:ascii="宋体" w:hAnsi="宋体"/>
                <w:b/>
                <w:bCs/>
                <w:color w:val="000000" w:themeColor="text1"/>
                <w:kern w:val="0"/>
                <w:sz w:val="21"/>
                <w:szCs w:val="21"/>
              </w:rPr>
              <w:t>序号</w:t>
            </w:r>
          </w:p>
        </w:tc>
        <w:tc>
          <w:tcPr>
            <w:tcW w:w="1417" w:type="dxa"/>
            <w:vAlign w:val="center"/>
          </w:tcPr>
          <w:p>
            <w:pPr>
              <w:rPr>
                <w:rFonts w:ascii="宋体" w:hAnsi="宋体"/>
                <w:b/>
                <w:bCs/>
                <w:color w:val="000000" w:themeColor="text1"/>
                <w:kern w:val="0"/>
                <w:sz w:val="21"/>
                <w:szCs w:val="21"/>
              </w:rPr>
            </w:pPr>
            <w:r>
              <w:rPr>
                <w:rFonts w:hint="eastAsia" w:ascii="宋体" w:hAnsi="宋体"/>
                <w:b/>
                <w:bCs/>
                <w:color w:val="000000" w:themeColor="text1"/>
                <w:kern w:val="0"/>
                <w:sz w:val="21"/>
                <w:szCs w:val="21"/>
              </w:rPr>
              <w:t>指标项</w:t>
            </w:r>
          </w:p>
        </w:tc>
        <w:tc>
          <w:tcPr>
            <w:tcW w:w="6033" w:type="dxa"/>
            <w:vAlign w:val="center"/>
          </w:tcPr>
          <w:p>
            <w:pPr>
              <w:rPr>
                <w:rFonts w:ascii="宋体" w:hAnsi="宋体"/>
                <w:color w:val="000000" w:themeColor="text1"/>
                <w:kern w:val="0"/>
                <w:sz w:val="21"/>
                <w:szCs w:val="21"/>
              </w:rPr>
            </w:pPr>
            <w:r>
              <w:rPr>
                <w:rFonts w:hint="eastAsia" w:ascii="宋体" w:hAnsi="宋体"/>
                <w:b/>
                <w:color w:val="000000" w:themeColor="text1"/>
                <w:kern w:val="0"/>
                <w:sz w:val="21"/>
                <w:szCs w:val="21"/>
              </w:rPr>
              <w:t>指标技术</w:t>
            </w:r>
            <w:r>
              <w:rPr>
                <w:rFonts w:ascii="宋体" w:hAnsi="宋体"/>
                <w:b/>
                <w:color w:val="000000" w:themeColor="text1"/>
                <w:kern w:val="0"/>
                <w:sz w:val="21"/>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宋体" w:hAnsi="宋体"/>
                <w:color w:val="000000" w:themeColor="text1"/>
                <w:kern w:val="0"/>
                <w:sz w:val="21"/>
                <w:szCs w:val="21"/>
              </w:rPr>
            </w:pPr>
            <w:r>
              <w:rPr>
                <w:rFonts w:hint="eastAsia" w:ascii="宋体" w:hAnsi="宋体"/>
                <w:color w:val="000000" w:themeColor="text1"/>
                <w:kern w:val="0"/>
                <w:sz w:val="21"/>
                <w:szCs w:val="21"/>
              </w:rPr>
              <w:t>1</w:t>
            </w:r>
          </w:p>
        </w:tc>
        <w:tc>
          <w:tcPr>
            <w:tcW w:w="1417" w:type="dxa"/>
          </w:tcPr>
          <w:p>
            <w:pPr>
              <w:rPr>
                <w:rFonts w:ascii="宋体" w:hAnsi="宋体"/>
                <w:color w:val="000000" w:themeColor="text1"/>
                <w:kern w:val="0"/>
                <w:sz w:val="21"/>
                <w:szCs w:val="21"/>
              </w:rPr>
            </w:pPr>
            <w:r>
              <w:rPr>
                <w:rFonts w:hint="eastAsia"/>
                <w:color w:val="000000" w:themeColor="text1"/>
                <w:kern w:val="0"/>
                <w:sz w:val="21"/>
                <w:szCs w:val="21"/>
              </w:rPr>
              <w:t>强制杀毒</w:t>
            </w:r>
          </w:p>
        </w:tc>
        <w:tc>
          <w:tcPr>
            <w:tcW w:w="6033" w:type="dxa"/>
          </w:tcPr>
          <w:p>
            <w:pPr>
              <w:rPr>
                <w:rFonts w:ascii="宋体" w:hAnsi="宋体"/>
                <w:color w:val="000000" w:themeColor="text1"/>
                <w:kern w:val="0"/>
                <w:sz w:val="21"/>
                <w:szCs w:val="21"/>
              </w:rPr>
            </w:pPr>
            <w:r>
              <w:rPr>
                <w:rFonts w:hint="eastAsia"/>
                <w:color w:val="000000" w:themeColor="text1"/>
                <w:kern w:val="0"/>
                <w:sz w:val="21"/>
                <w:szCs w:val="21"/>
              </w:rPr>
              <w:t>外到内的数据，拷贝之前，自动完成强制杀毒、日志上报、数据交换全过程，杜绝数据交换过程中带来的病毒风险。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宋体" w:hAnsi="宋体"/>
                <w:color w:val="000000" w:themeColor="text1"/>
                <w:kern w:val="0"/>
                <w:sz w:val="21"/>
                <w:szCs w:val="21"/>
              </w:rPr>
            </w:pPr>
            <w:r>
              <w:rPr>
                <w:rFonts w:hint="eastAsia" w:ascii="宋体" w:hAnsi="宋体"/>
                <w:color w:val="000000" w:themeColor="text1"/>
                <w:kern w:val="0"/>
                <w:sz w:val="21"/>
                <w:szCs w:val="21"/>
              </w:rPr>
              <w:t>2</w:t>
            </w:r>
          </w:p>
        </w:tc>
        <w:tc>
          <w:tcPr>
            <w:tcW w:w="1417" w:type="dxa"/>
          </w:tcPr>
          <w:p>
            <w:pPr>
              <w:rPr>
                <w:rFonts w:ascii="宋体" w:hAnsi="宋体"/>
                <w:color w:val="000000" w:themeColor="text1"/>
                <w:kern w:val="0"/>
                <w:sz w:val="21"/>
                <w:szCs w:val="21"/>
              </w:rPr>
            </w:pPr>
            <w:r>
              <w:rPr>
                <w:rFonts w:hint="eastAsia"/>
                <w:color w:val="000000" w:themeColor="text1"/>
                <w:kern w:val="0"/>
                <w:sz w:val="21"/>
                <w:szCs w:val="21"/>
              </w:rPr>
              <w:t>日志汇总</w:t>
            </w:r>
          </w:p>
        </w:tc>
        <w:tc>
          <w:tcPr>
            <w:tcW w:w="6033" w:type="dxa"/>
          </w:tcPr>
          <w:p>
            <w:pPr>
              <w:rPr>
                <w:rFonts w:ascii="宋体" w:hAnsi="宋体"/>
                <w:color w:val="000000" w:themeColor="text1"/>
                <w:kern w:val="0"/>
                <w:sz w:val="21"/>
                <w:szCs w:val="21"/>
              </w:rPr>
            </w:pPr>
            <w:r>
              <w:rPr>
                <w:rFonts w:hint="eastAsia"/>
                <w:color w:val="000000" w:themeColor="text1"/>
                <w:kern w:val="0"/>
                <w:sz w:val="21"/>
                <w:szCs w:val="21"/>
              </w:rPr>
              <w:t>外网盘使用日志汇总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宋体" w:hAnsi="宋体"/>
                <w:color w:val="000000" w:themeColor="text1"/>
                <w:kern w:val="0"/>
                <w:sz w:val="21"/>
                <w:szCs w:val="21"/>
              </w:rPr>
            </w:pPr>
            <w:r>
              <w:rPr>
                <w:rFonts w:hint="eastAsia" w:ascii="宋体" w:hAnsi="宋体"/>
                <w:color w:val="000000" w:themeColor="text1"/>
                <w:kern w:val="0"/>
                <w:sz w:val="21"/>
                <w:szCs w:val="21"/>
              </w:rPr>
              <w:t>3</w:t>
            </w:r>
          </w:p>
        </w:tc>
        <w:tc>
          <w:tcPr>
            <w:tcW w:w="1417" w:type="dxa"/>
          </w:tcPr>
          <w:p>
            <w:pPr>
              <w:rPr>
                <w:rFonts w:ascii="宋体" w:hAnsi="宋体"/>
                <w:color w:val="000000" w:themeColor="text1"/>
                <w:kern w:val="0"/>
                <w:sz w:val="21"/>
                <w:szCs w:val="21"/>
              </w:rPr>
            </w:pPr>
            <w:r>
              <w:rPr>
                <w:rFonts w:hint="eastAsia"/>
                <w:color w:val="000000" w:themeColor="text1"/>
                <w:kern w:val="0"/>
                <w:sz w:val="21"/>
                <w:szCs w:val="21"/>
              </w:rPr>
              <w:t>日志摆渡</w:t>
            </w:r>
          </w:p>
        </w:tc>
        <w:tc>
          <w:tcPr>
            <w:tcW w:w="6033" w:type="dxa"/>
          </w:tcPr>
          <w:p>
            <w:pPr>
              <w:rPr>
                <w:rFonts w:ascii="宋体" w:hAnsi="宋体"/>
                <w:color w:val="000000" w:themeColor="text1"/>
                <w:kern w:val="0"/>
                <w:sz w:val="21"/>
                <w:szCs w:val="21"/>
              </w:rPr>
            </w:pPr>
            <w:r>
              <w:rPr>
                <w:rFonts w:hint="eastAsia"/>
                <w:color w:val="000000" w:themeColor="text1"/>
                <w:kern w:val="0"/>
                <w:sz w:val="21"/>
                <w:szCs w:val="21"/>
              </w:rPr>
              <w:t>外网盘使用日志，主机审计单机版日志，摆渡到内网服务器。摆渡过程在数据交换时进行，将外网盘日志同步到内网盘中，</w:t>
            </w:r>
            <w:r>
              <w:rPr>
                <w:color w:val="000000" w:themeColor="text1"/>
                <w:kern w:val="0"/>
                <w:sz w:val="21"/>
                <w:szCs w:val="21"/>
              </w:rPr>
              <w:t xml:space="preserve"> 当内网盘在内网中登录时自动上传日志到日志服务器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宋体" w:hAnsi="宋体"/>
                <w:color w:val="000000" w:themeColor="text1"/>
                <w:kern w:val="0"/>
                <w:sz w:val="21"/>
                <w:szCs w:val="21"/>
              </w:rPr>
            </w:pPr>
            <w:r>
              <w:rPr>
                <w:rFonts w:hint="eastAsia" w:ascii="宋体" w:hAnsi="宋体"/>
                <w:color w:val="000000" w:themeColor="text1"/>
                <w:kern w:val="0"/>
                <w:sz w:val="21"/>
                <w:szCs w:val="21"/>
              </w:rPr>
              <w:t>4</w:t>
            </w:r>
          </w:p>
        </w:tc>
        <w:tc>
          <w:tcPr>
            <w:tcW w:w="1417" w:type="dxa"/>
          </w:tcPr>
          <w:p>
            <w:pPr>
              <w:rPr>
                <w:rFonts w:ascii="宋体" w:hAnsi="宋体"/>
                <w:color w:val="000000" w:themeColor="text1"/>
                <w:kern w:val="0"/>
                <w:sz w:val="21"/>
                <w:szCs w:val="21"/>
              </w:rPr>
            </w:pPr>
            <w:r>
              <w:rPr>
                <w:rFonts w:hint="eastAsia"/>
                <w:color w:val="000000" w:themeColor="text1"/>
                <w:kern w:val="0"/>
                <w:sz w:val="21"/>
                <w:szCs w:val="21"/>
              </w:rPr>
              <w:t>数据拷贝</w:t>
            </w:r>
          </w:p>
        </w:tc>
        <w:tc>
          <w:tcPr>
            <w:tcW w:w="6033" w:type="dxa"/>
          </w:tcPr>
          <w:p>
            <w:pPr>
              <w:rPr>
                <w:rFonts w:ascii="宋体" w:hAnsi="宋体"/>
                <w:color w:val="000000" w:themeColor="text1"/>
                <w:kern w:val="0"/>
                <w:sz w:val="21"/>
                <w:szCs w:val="21"/>
              </w:rPr>
            </w:pPr>
            <w:r>
              <w:rPr>
                <w:rFonts w:hint="eastAsia"/>
                <w:color w:val="000000" w:themeColor="text1"/>
                <w:kern w:val="0"/>
                <w:sz w:val="21"/>
                <w:szCs w:val="21"/>
              </w:rPr>
              <w:t>数据不落地，内外网盘之间直接进行拷贝数据。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宋体" w:hAnsi="宋体"/>
                <w:color w:val="000000" w:themeColor="text1"/>
                <w:kern w:val="0"/>
                <w:sz w:val="21"/>
                <w:szCs w:val="21"/>
              </w:rPr>
            </w:pPr>
            <w:r>
              <w:rPr>
                <w:rFonts w:hint="eastAsia" w:ascii="宋体" w:hAnsi="宋体"/>
                <w:color w:val="000000" w:themeColor="text1"/>
                <w:kern w:val="0"/>
                <w:sz w:val="21"/>
                <w:szCs w:val="21"/>
              </w:rPr>
              <w:t>5</w:t>
            </w:r>
          </w:p>
        </w:tc>
        <w:tc>
          <w:tcPr>
            <w:tcW w:w="1417" w:type="dxa"/>
          </w:tcPr>
          <w:p>
            <w:pPr>
              <w:rPr>
                <w:rFonts w:ascii="宋体" w:hAnsi="宋体"/>
                <w:color w:val="000000" w:themeColor="text1"/>
                <w:kern w:val="0"/>
                <w:sz w:val="21"/>
                <w:szCs w:val="21"/>
              </w:rPr>
            </w:pPr>
            <w:r>
              <w:rPr>
                <w:color w:val="000000" w:themeColor="text1"/>
                <w:kern w:val="0"/>
                <w:sz w:val="21"/>
                <w:szCs w:val="21"/>
              </w:rPr>
              <w:t>源盘及目的盘</w:t>
            </w:r>
            <w:r>
              <w:rPr>
                <w:rFonts w:hint="eastAsia"/>
                <w:color w:val="000000" w:themeColor="text1"/>
                <w:kern w:val="0"/>
                <w:sz w:val="21"/>
                <w:szCs w:val="21"/>
              </w:rPr>
              <w:t>自动同步</w:t>
            </w:r>
          </w:p>
        </w:tc>
        <w:tc>
          <w:tcPr>
            <w:tcW w:w="6033" w:type="dxa"/>
          </w:tcPr>
          <w:p>
            <w:pPr>
              <w:rPr>
                <w:color w:val="000000" w:themeColor="text1"/>
                <w:kern w:val="0"/>
                <w:sz w:val="21"/>
                <w:szCs w:val="21"/>
              </w:rPr>
            </w:pPr>
            <w:r>
              <w:rPr>
                <w:rFonts w:hint="eastAsia"/>
                <w:color w:val="000000" w:themeColor="text1"/>
                <w:kern w:val="0"/>
                <w:sz w:val="21"/>
                <w:szCs w:val="21"/>
              </w:rPr>
              <w:t>需摆渡的文件存放在数据源安全</w:t>
            </w:r>
            <w:r>
              <w:rPr>
                <w:color w:val="000000" w:themeColor="text1"/>
                <w:kern w:val="0"/>
                <w:sz w:val="21"/>
                <w:szCs w:val="21"/>
              </w:rPr>
              <w:t>U盘</w:t>
            </w:r>
            <w:r>
              <w:rPr>
                <w:rFonts w:hint="eastAsia"/>
                <w:color w:val="000000" w:themeColor="text1"/>
                <w:kern w:val="0"/>
                <w:sz w:val="21"/>
                <w:szCs w:val="21"/>
              </w:rPr>
              <w:t>指定</w:t>
            </w:r>
            <w:r>
              <w:rPr>
                <w:color w:val="000000" w:themeColor="text1"/>
                <w:kern w:val="0"/>
                <w:sz w:val="21"/>
                <w:szCs w:val="21"/>
              </w:rPr>
              <w:t>文件夹</w:t>
            </w:r>
            <w:r>
              <w:rPr>
                <w:rFonts w:hint="eastAsia"/>
                <w:color w:val="000000" w:themeColor="text1"/>
                <w:kern w:val="0"/>
                <w:sz w:val="21"/>
                <w:szCs w:val="21"/>
              </w:rPr>
              <w:t>内进行自动同步</w:t>
            </w:r>
          </w:p>
          <w:p>
            <w:pPr>
              <w:rPr>
                <w:rFonts w:ascii="宋体" w:hAnsi="宋体"/>
                <w:color w:val="000000" w:themeColor="text1"/>
                <w:kern w:val="0"/>
                <w:sz w:val="21"/>
                <w:szCs w:val="21"/>
              </w:rPr>
            </w:pPr>
            <w:r>
              <w:rPr>
                <w:rFonts w:hint="eastAsia" w:ascii="宋体" w:hAnsi="宋体"/>
                <w:color w:val="000000" w:themeColor="text1"/>
                <w:kern w:val="0"/>
                <w:sz w:val="21"/>
                <w:szCs w:val="21"/>
              </w:rPr>
              <w:t>▲</w:t>
            </w:r>
            <w:r>
              <w:rPr>
                <w:rFonts w:hint="eastAsia"/>
                <w:color w:val="000000" w:themeColor="text1"/>
                <w:kern w:val="0"/>
                <w:sz w:val="21"/>
                <w:szCs w:val="21"/>
              </w:rPr>
              <w:t>需同时插入目的安全</w:t>
            </w:r>
            <w:r>
              <w:rPr>
                <w:color w:val="000000" w:themeColor="text1"/>
                <w:kern w:val="0"/>
                <w:sz w:val="21"/>
                <w:szCs w:val="21"/>
              </w:rPr>
              <w:t>U盘，并输入两个U盘正确的密码</w:t>
            </w:r>
            <w:r>
              <w:rPr>
                <w:rFonts w:hint="eastAsia"/>
                <w:color w:val="000000" w:themeColor="text1"/>
                <w:kern w:val="0"/>
                <w:sz w:val="21"/>
                <w:szCs w:val="21"/>
              </w:rPr>
              <w:t>，可选根据业务需要灵活选择内网盘到外网盘、外网盘到内网盘两种摆渡操作。</w:t>
            </w:r>
            <w:r>
              <w:rPr>
                <w:rFonts w:hint="eastAsia" w:ascii="宋体" w:hAnsi="宋体"/>
                <w:color w:val="000000" w:themeColor="text1"/>
                <w:kern w:val="0"/>
                <w:sz w:val="21"/>
                <w:szCs w:val="21"/>
              </w:rPr>
              <w:t>（提供界面截图证明加盖原厂商公章）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宋体" w:hAnsi="宋体"/>
                <w:color w:val="000000" w:themeColor="text1"/>
                <w:kern w:val="0"/>
                <w:sz w:val="21"/>
                <w:szCs w:val="21"/>
              </w:rPr>
            </w:pPr>
            <w:r>
              <w:rPr>
                <w:rFonts w:hint="eastAsia" w:ascii="宋体" w:hAnsi="宋体"/>
                <w:color w:val="000000" w:themeColor="text1"/>
                <w:kern w:val="0"/>
                <w:sz w:val="21"/>
                <w:szCs w:val="21"/>
              </w:rPr>
              <w:t>6</w:t>
            </w:r>
          </w:p>
        </w:tc>
        <w:tc>
          <w:tcPr>
            <w:tcW w:w="1417" w:type="dxa"/>
          </w:tcPr>
          <w:p>
            <w:pPr>
              <w:rPr>
                <w:rFonts w:ascii="宋体" w:hAnsi="宋体"/>
                <w:color w:val="000000" w:themeColor="text1"/>
                <w:kern w:val="0"/>
                <w:sz w:val="21"/>
                <w:szCs w:val="21"/>
              </w:rPr>
            </w:pPr>
            <w:r>
              <w:rPr>
                <w:color w:val="000000" w:themeColor="text1"/>
                <w:kern w:val="0"/>
                <w:sz w:val="21"/>
                <w:szCs w:val="21"/>
              </w:rPr>
              <w:t>病毒查杀</w:t>
            </w:r>
          </w:p>
        </w:tc>
        <w:tc>
          <w:tcPr>
            <w:tcW w:w="6033" w:type="dxa"/>
          </w:tcPr>
          <w:p>
            <w:pPr>
              <w:rPr>
                <w:color w:val="000000" w:themeColor="text1"/>
                <w:kern w:val="0"/>
                <w:sz w:val="21"/>
                <w:szCs w:val="21"/>
              </w:rPr>
            </w:pPr>
            <w:r>
              <w:rPr>
                <w:rFonts w:hint="eastAsia"/>
                <w:color w:val="000000" w:themeColor="text1"/>
                <w:kern w:val="0"/>
                <w:sz w:val="21"/>
                <w:szCs w:val="21"/>
              </w:rPr>
              <w:t>任何有判定为有威胁的文档将会在查杀过程中被清除，不允许传送到目标安全</w:t>
            </w:r>
            <w:r>
              <w:rPr>
                <w:color w:val="000000" w:themeColor="text1"/>
                <w:kern w:val="0"/>
                <w:sz w:val="21"/>
                <w:szCs w:val="21"/>
              </w:rPr>
              <w:t>U盘中；</w:t>
            </w:r>
          </w:p>
          <w:p>
            <w:pPr>
              <w:rPr>
                <w:rFonts w:ascii="宋体" w:hAnsi="宋体"/>
                <w:color w:val="000000" w:themeColor="text1"/>
                <w:kern w:val="0"/>
                <w:sz w:val="21"/>
                <w:szCs w:val="21"/>
              </w:rPr>
            </w:pPr>
            <w:r>
              <w:rPr>
                <w:rFonts w:hint="eastAsia" w:ascii="宋体" w:hAnsi="宋体"/>
                <w:color w:val="000000" w:themeColor="text1"/>
                <w:kern w:val="0"/>
                <w:sz w:val="21"/>
                <w:szCs w:val="21"/>
              </w:rPr>
              <w:t>▲</w:t>
            </w:r>
            <w:r>
              <w:rPr>
                <w:rFonts w:hint="eastAsia"/>
                <w:color w:val="000000" w:themeColor="text1"/>
                <w:kern w:val="0"/>
                <w:sz w:val="21"/>
                <w:szCs w:val="21"/>
              </w:rPr>
              <w:t>病毒无法清除的情况下则终止摆渡，若没有可调用的杀毒软件，则给出警告，但不停止摆渡过程提示</w:t>
            </w:r>
            <w:r>
              <w:rPr>
                <w:color w:val="000000" w:themeColor="text1"/>
                <w:kern w:val="0"/>
                <w:sz w:val="21"/>
                <w:szCs w:val="21"/>
              </w:rPr>
              <w:t>是否继续进行摆渡</w:t>
            </w:r>
            <w:r>
              <w:rPr>
                <w:rFonts w:hint="eastAsia"/>
                <w:color w:val="000000" w:themeColor="text1"/>
                <w:kern w:val="0"/>
                <w:sz w:val="21"/>
                <w:szCs w:val="21"/>
              </w:rPr>
              <w:t>。</w:t>
            </w:r>
            <w:r>
              <w:rPr>
                <w:rFonts w:hint="eastAsia" w:ascii="宋体" w:hAnsi="宋体"/>
                <w:color w:val="000000" w:themeColor="text1"/>
                <w:kern w:val="0"/>
                <w:sz w:val="21"/>
                <w:szCs w:val="21"/>
              </w:rPr>
              <w:t>（提供界面截图证明加盖原厂商公章）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宋体" w:hAnsi="宋体"/>
                <w:color w:val="000000" w:themeColor="text1"/>
                <w:kern w:val="0"/>
                <w:sz w:val="21"/>
                <w:szCs w:val="21"/>
              </w:rPr>
            </w:pPr>
            <w:r>
              <w:rPr>
                <w:rFonts w:hint="eastAsia" w:ascii="宋体" w:hAnsi="宋体"/>
                <w:color w:val="000000" w:themeColor="text1"/>
                <w:kern w:val="0"/>
                <w:sz w:val="21"/>
                <w:szCs w:val="21"/>
              </w:rPr>
              <w:t>7</w:t>
            </w:r>
          </w:p>
        </w:tc>
        <w:tc>
          <w:tcPr>
            <w:tcW w:w="1417" w:type="dxa"/>
          </w:tcPr>
          <w:p>
            <w:pPr>
              <w:rPr>
                <w:rFonts w:ascii="宋体" w:hAnsi="宋体"/>
                <w:color w:val="000000" w:themeColor="text1"/>
                <w:kern w:val="0"/>
                <w:sz w:val="21"/>
                <w:szCs w:val="21"/>
              </w:rPr>
            </w:pPr>
            <w:r>
              <w:rPr>
                <w:color w:val="000000" w:themeColor="text1"/>
                <w:kern w:val="0"/>
                <w:sz w:val="21"/>
                <w:szCs w:val="21"/>
              </w:rPr>
              <w:t>日志同步</w:t>
            </w:r>
          </w:p>
        </w:tc>
        <w:tc>
          <w:tcPr>
            <w:tcW w:w="6033" w:type="dxa"/>
          </w:tcPr>
          <w:p>
            <w:pPr>
              <w:rPr>
                <w:color w:val="000000" w:themeColor="text1"/>
                <w:kern w:val="0"/>
                <w:sz w:val="21"/>
                <w:szCs w:val="21"/>
              </w:rPr>
            </w:pPr>
            <w:r>
              <w:rPr>
                <w:rFonts w:hint="eastAsia"/>
                <w:color w:val="000000" w:themeColor="text1"/>
                <w:kern w:val="0"/>
                <w:sz w:val="21"/>
                <w:szCs w:val="21"/>
              </w:rPr>
              <w:t>将外网盘缓存日志同步到内网盘。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宋体" w:hAnsi="宋体"/>
                <w:color w:val="000000" w:themeColor="text1"/>
                <w:kern w:val="0"/>
                <w:sz w:val="21"/>
                <w:szCs w:val="21"/>
              </w:rPr>
            </w:pPr>
            <w:r>
              <w:rPr>
                <w:rFonts w:hint="eastAsia" w:ascii="宋体" w:hAnsi="宋体"/>
                <w:color w:val="000000" w:themeColor="text1"/>
                <w:kern w:val="0"/>
                <w:sz w:val="21"/>
                <w:szCs w:val="21"/>
              </w:rPr>
              <w:t>8</w:t>
            </w:r>
          </w:p>
        </w:tc>
        <w:tc>
          <w:tcPr>
            <w:tcW w:w="1417" w:type="dxa"/>
          </w:tcPr>
          <w:p>
            <w:pPr>
              <w:rPr>
                <w:rFonts w:ascii="宋体" w:hAnsi="宋体"/>
                <w:color w:val="000000" w:themeColor="text1"/>
                <w:kern w:val="0"/>
                <w:sz w:val="21"/>
                <w:szCs w:val="21"/>
              </w:rPr>
            </w:pPr>
            <w:r>
              <w:rPr>
                <w:color w:val="000000" w:themeColor="text1"/>
                <w:kern w:val="0"/>
                <w:sz w:val="21"/>
                <w:szCs w:val="21"/>
              </w:rPr>
              <w:t>文件摆渡</w:t>
            </w:r>
          </w:p>
        </w:tc>
        <w:tc>
          <w:tcPr>
            <w:tcW w:w="6033" w:type="dxa"/>
          </w:tcPr>
          <w:p>
            <w:pPr>
              <w:rPr>
                <w:color w:val="000000" w:themeColor="text1"/>
                <w:kern w:val="0"/>
                <w:sz w:val="21"/>
                <w:szCs w:val="21"/>
              </w:rPr>
            </w:pPr>
            <w:r>
              <w:rPr>
                <w:rFonts w:hint="eastAsia"/>
                <w:color w:val="000000" w:themeColor="text1"/>
                <w:kern w:val="0"/>
                <w:sz w:val="21"/>
                <w:szCs w:val="21"/>
              </w:rPr>
              <w:t>数据源安全</w:t>
            </w:r>
            <w:r>
              <w:rPr>
                <w:color w:val="000000" w:themeColor="text1"/>
                <w:kern w:val="0"/>
                <w:sz w:val="21"/>
                <w:szCs w:val="21"/>
              </w:rPr>
              <w:t>U盘的“摆渡目录”文件夹下存放的文档将会在此次数据摆渡操作中传送到目标安全U盘。</w:t>
            </w:r>
          </w:p>
          <w:p>
            <w:pPr>
              <w:rPr>
                <w:rFonts w:ascii="宋体" w:hAnsi="宋体"/>
                <w:color w:val="000000" w:themeColor="text1"/>
                <w:kern w:val="0"/>
                <w:sz w:val="21"/>
                <w:szCs w:val="21"/>
              </w:rPr>
            </w:pPr>
            <w:r>
              <w:rPr>
                <w:rFonts w:hint="eastAsia"/>
                <w:color w:val="000000" w:themeColor="text1"/>
                <w:kern w:val="0"/>
                <w:sz w:val="21"/>
                <w:szCs w:val="21"/>
              </w:rPr>
              <w:t>若摆渡的目标安全</w:t>
            </w:r>
            <w:r>
              <w:rPr>
                <w:color w:val="000000" w:themeColor="text1"/>
                <w:kern w:val="0"/>
                <w:sz w:val="21"/>
                <w:szCs w:val="21"/>
              </w:rPr>
              <w:t xml:space="preserve">U盘下存在“摆渡目录”，则此目录中包含的任何文档将会在摆渡数据时被删除。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宋体" w:hAnsi="宋体"/>
                <w:color w:val="000000" w:themeColor="text1"/>
                <w:kern w:val="0"/>
                <w:sz w:val="21"/>
                <w:szCs w:val="21"/>
              </w:rPr>
            </w:pPr>
          </w:p>
        </w:tc>
        <w:tc>
          <w:tcPr>
            <w:tcW w:w="1417" w:type="dxa"/>
          </w:tcPr>
          <w:p>
            <w:pPr>
              <w:rPr>
                <w:color w:val="000000" w:themeColor="text1"/>
                <w:kern w:val="0"/>
                <w:sz w:val="21"/>
                <w:szCs w:val="21"/>
              </w:rPr>
            </w:pPr>
            <w:r>
              <w:rPr>
                <w:rFonts w:hint="eastAsia"/>
                <w:color w:val="000000" w:themeColor="text1"/>
                <w:kern w:val="0"/>
                <w:sz w:val="21"/>
                <w:szCs w:val="21"/>
              </w:rPr>
              <w:t>安全可控</w:t>
            </w:r>
            <w:r>
              <w:rPr>
                <w:color w:val="000000" w:themeColor="text1"/>
                <w:kern w:val="0"/>
                <w:sz w:val="21"/>
                <w:szCs w:val="21"/>
              </w:rPr>
              <w:t>U盘升级</w:t>
            </w:r>
          </w:p>
        </w:tc>
        <w:tc>
          <w:tcPr>
            <w:tcW w:w="6033" w:type="dxa"/>
          </w:tcPr>
          <w:p>
            <w:pPr>
              <w:rPr>
                <w:color w:val="000000" w:themeColor="text1"/>
                <w:kern w:val="0"/>
                <w:sz w:val="21"/>
                <w:szCs w:val="21"/>
              </w:rPr>
            </w:pPr>
            <w:r>
              <w:rPr>
                <w:rFonts w:hint="eastAsia" w:ascii="宋体" w:hAnsi="宋体"/>
                <w:color w:val="000000" w:themeColor="text1"/>
                <w:kern w:val="0"/>
                <w:sz w:val="21"/>
                <w:szCs w:val="21"/>
              </w:rPr>
              <w:t>▲</w:t>
            </w:r>
            <w:r>
              <w:rPr>
                <w:rFonts w:hint="eastAsia"/>
                <w:color w:val="000000" w:themeColor="text1"/>
                <w:kern w:val="0"/>
                <w:sz w:val="21"/>
                <w:szCs w:val="21"/>
              </w:rPr>
              <w:t>需提供对安全</w:t>
            </w:r>
            <w:r>
              <w:rPr>
                <w:color w:val="000000" w:themeColor="text1"/>
                <w:kern w:val="0"/>
                <w:sz w:val="21"/>
                <w:szCs w:val="21"/>
              </w:rPr>
              <w:t>U盘程序进行升级的功能，在U盘插入后检查程序版本，并根据需要提示升级。</w:t>
            </w:r>
            <w:r>
              <w:rPr>
                <w:rFonts w:hint="eastAsia" w:ascii="宋体" w:hAnsi="宋体"/>
                <w:color w:val="000000" w:themeColor="text1"/>
                <w:kern w:val="0"/>
                <w:sz w:val="21"/>
                <w:szCs w:val="21"/>
              </w:rPr>
              <w:t>（提供界面截图证明加盖原厂商公章）</w:t>
            </w:r>
          </w:p>
        </w:tc>
      </w:tr>
    </w:tbl>
    <w:p>
      <w:pPr>
        <w:rPr>
          <w:color w:val="000000" w:themeColor="text1"/>
        </w:rPr>
      </w:pPr>
    </w:p>
    <w:p>
      <w:pPr>
        <w:pStyle w:val="3"/>
        <w:numPr>
          <w:ilvl w:val="2"/>
          <w:numId w:val="0"/>
        </w:numPr>
        <w:spacing w:line="360" w:lineRule="auto"/>
        <w:ind w:left="720" w:hanging="720"/>
        <w:rPr>
          <w:color w:val="000000" w:themeColor="text1"/>
        </w:rPr>
      </w:pPr>
      <w:r>
        <w:rPr>
          <w:rFonts w:hint="eastAsia"/>
          <w:color w:val="000000" w:themeColor="text1"/>
        </w:rPr>
        <w:t>中间机</w:t>
      </w:r>
      <w:r>
        <w:rPr>
          <w:color w:val="000000" w:themeColor="text1"/>
        </w:rPr>
        <w:t>U盘注册管理系统</w:t>
      </w:r>
      <w:r>
        <w:rPr>
          <w:rFonts w:hint="eastAsia"/>
          <w:color w:val="000000" w:themeColor="text1"/>
        </w:rPr>
        <w:t>功能参数要求</w:t>
      </w:r>
    </w:p>
    <w:p>
      <w:pPr>
        <w:ind w:firstLine="420" w:firstLineChars="200"/>
        <w:rPr>
          <w:color w:val="000000" w:themeColor="text1"/>
        </w:rPr>
      </w:pPr>
      <w:r>
        <w:rPr>
          <w:rFonts w:hint="eastAsia"/>
          <w:color w:val="000000" w:themeColor="text1"/>
        </w:rPr>
        <w:t>发盘工具部署在专用的国产化机器上；负责单位内数据安全交换系统专用安全移动存储介质的注册、管理，内网环境配置、日志服务器配置等</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7"/>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宋体" w:hAnsi="宋体"/>
                <w:color w:val="000000" w:themeColor="text1"/>
                <w:kern w:val="0"/>
                <w:sz w:val="21"/>
                <w:szCs w:val="21"/>
              </w:rPr>
            </w:pPr>
            <w:r>
              <w:rPr>
                <w:rFonts w:hint="eastAsia" w:ascii="宋体" w:hAnsi="宋体"/>
                <w:color w:val="000000" w:themeColor="text1"/>
                <w:kern w:val="0"/>
                <w:sz w:val="21"/>
                <w:szCs w:val="21"/>
              </w:rPr>
              <w:t>序号</w:t>
            </w:r>
          </w:p>
        </w:tc>
        <w:tc>
          <w:tcPr>
            <w:tcW w:w="1417" w:type="dxa"/>
            <w:vAlign w:val="center"/>
          </w:tcPr>
          <w:p>
            <w:pPr>
              <w:rPr>
                <w:rFonts w:ascii="宋体" w:hAnsi="宋体"/>
                <w:color w:val="000000" w:themeColor="text1"/>
                <w:kern w:val="0"/>
                <w:sz w:val="21"/>
                <w:szCs w:val="21"/>
              </w:rPr>
            </w:pPr>
            <w:r>
              <w:rPr>
                <w:rFonts w:hint="eastAsia" w:ascii="宋体" w:hAnsi="宋体"/>
                <w:b/>
                <w:color w:val="000000" w:themeColor="text1"/>
                <w:kern w:val="0"/>
                <w:sz w:val="21"/>
                <w:szCs w:val="21"/>
              </w:rPr>
              <w:t>指标项</w:t>
            </w:r>
          </w:p>
        </w:tc>
        <w:tc>
          <w:tcPr>
            <w:tcW w:w="6033" w:type="dxa"/>
            <w:vAlign w:val="center"/>
          </w:tcPr>
          <w:p>
            <w:pPr>
              <w:rPr>
                <w:rFonts w:ascii="宋体" w:hAnsi="宋体"/>
                <w:color w:val="000000" w:themeColor="text1"/>
                <w:kern w:val="0"/>
                <w:sz w:val="21"/>
                <w:szCs w:val="21"/>
              </w:rPr>
            </w:pPr>
            <w:r>
              <w:rPr>
                <w:rFonts w:hint="eastAsia" w:ascii="宋体" w:hAnsi="宋体"/>
                <w:b/>
                <w:color w:val="000000" w:themeColor="text1"/>
                <w:kern w:val="0"/>
                <w:sz w:val="21"/>
                <w:szCs w:val="21"/>
              </w:rPr>
              <w:t>指标技术</w:t>
            </w:r>
            <w:r>
              <w:rPr>
                <w:rFonts w:ascii="宋体" w:hAnsi="宋体"/>
                <w:b/>
                <w:color w:val="000000" w:themeColor="text1"/>
                <w:kern w:val="0"/>
                <w:sz w:val="21"/>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宋体" w:hAnsi="宋体"/>
                <w:color w:val="000000" w:themeColor="text1"/>
                <w:kern w:val="0"/>
                <w:sz w:val="21"/>
                <w:szCs w:val="21"/>
              </w:rPr>
            </w:pPr>
            <w:r>
              <w:rPr>
                <w:rFonts w:hint="eastAsia" w:ascii="宋体" w:hAnsi="宋体"/>
                <w:color w:val="000000" w:themeColor="text1"/>
                <w:kern w:val="0"/>
                <w:sz w:val="21"/>
                <w:szCs w:val="21"/>
              </w:rPr>
              <w:t>1</w:t>
            </w:r>
          </w:p>
        </w:tc>
        <w:tc>
          <w:tcPr>
            <w:tcW w:w="1417" w:type="dxa"/>
          </w:tcPr>
          <w:p>
            <w:pPr>
              <w:rPr>
                <w:rFonts w:ascii="宋体" w:hAnsi="宋体"/>
                <w:color w:val="000000" w:themeColor="text1"/>
                <w:kern w:val="0"/>
                <w:sz w:val="21"/>
                <w:szCs w:val="21"/>
              </w:rPr>
            </w:pPr>
            <w:r>
              <w:rPr>
                <w:rFonts w:ascii="宋体" w:hAnsi="宋体"/>
                <w:color w:val="000000" w:themeColor="text1"/>
                <w:kern w:val="0"/>
                <w:sz w:val="21"/>
                <w:szCs w:val="21"/>
              </w:rPr>
              <w:t>登录密码</w:t>
            </w:r>
          </w:p>
        </w:tc>
        <w:tc>
          <w:tcPr>
            <w:tcW w:w="6033" w:type="dxa"/>
          </w:tcPr>
          <w:p>
            <w:pPr>
              <w:rPr>
                <w:rFonts w:ascii="宋体" w:hAnsi="宋体"/>
                <w:color w:val="000000" w:themeColor="text1"/>
                <w:kern w:val="0"/>
                <w:sz w:val="21"/>
                <w:szCs w:val="21"/>
              </w:rPr>
            </w:pPr>
            <w:r>
              <w:rPr>
                <w:rFonts w:hint="eastAsia" w:ascii="宋体" w:hAnsi="宋体"/>
                <w:color w:val="000000" w:themeColor="text1"/>
                <w:kern w:val="0"/>
                <w:sz w:val="21"/>
                <w:szCs w:val="21"/>
              </w:rPr>
              <w:t>发盘工具需通过管理密码登录，并提供密码设置密码修改等功能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宋体" w:hAnsi="宋体"/>
                <w:color w:val="000000" w:themeColor="text1"/>
                <w:kern w:val="0"/>
                <w:sz w:val="21"/>
                <w:szCs w:val="21"/>
              </w:rPr>
            </w:pPr>
            <w:r>
              <w:rPr>
                <w:rFonts w:hint="eastAsia" w:ascii="宋体" w:hAnsi="宋体"/>
                <w:color w:val="000000" w:themeColor="text1"/>
                <w:kern w:val="0"/>
                <w:sz w:val="21"/>
                <w:szCs w:val="21"/>
              </w:rPr>
              <w:t>2</w:t>
            </w:r>
          </w:p>
        </w:tc>
        <w:tc>
          <w:tcPr>
            <w:tcW w:w="1417" w:type="dxa"/>
          </w:tcPr>
          <w:p>
            <w:pPr>
              <w:rPr>
                <w:rFonts w:ascii="宋体" w:hAnsi="宋体"/>
                <w:color w:val="000000" w:themeColor="text1"/>
                <w:kern w:val="0"/>
                <w:sz w:val="21"/>
                <w:szCs w:val="21"/>
              </w:rPr>
            </w:pPr>
            <w:r>
              <w:rPr>
                <w:rFonts w:ascii="宋体" w:hAnsi="宋体"/>
                <w:color w:val="000000" w:themeColor="text1"/>
                <w:kern w:val="0"/>
                <w:sz w:val="21"/>
                <w:szCs w:val="21"/>
              </w:rPr>
              <w:t>单位管理</w:t>
            </w:r>
          </w:p>
        </w:tc>
        <w:tc>
          <w:tcPr>
            <w:tcW w:w="6033" w:type="dxa"/>
          </w:tcPr>
          <w:p>
            <w:pPr>
              <w:rPr>
                <w:rFonts w:ascii="宋体" w:hAnsi="宋体"/>
                <w:color w:val="000000" w:themeColor="text1"/>
                <w:kern w:val="0"/>
                <w:sz w:val="21"/>
                <w:szCs w:val="21"/>
              </w:rPr>
            </w:pPr>
            <w:r>
              <w:rPr>
                <w:rFonts w:hint="eastAsia" w:ascii="宋体" w:hAnsi="宋体"/>
                <w:color w:val="000000" w:themeColor="text1"/>
                <w:kern w:val="0"/>
                <w:sz w:val="21"/>
                <w:szCs w:val="21"/>
              </w:rPr>
              <w:t>对单位及部门信息进行增删改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宋体" w:hAnsi="宋体"/>
                <w:color w:val="000000" w:themeColor="text1"/>
                <w:kern w:val="0"/>
                <w:sz w:val="21"/>
                <w:szCs w:val="21"/>
              </w:rPr>
            </w:pPr>
            <w:r>
              <w:rPr>
                <w:rFonts w:hint="eastAsia" w:ascii="宋体" w:hAnsi="宋体"/>
                <w:color w:val="000000" w:themeColor="text1"/>
                <w:kern w:val="0"/>
                <w:sz w:val="21"/>
                <w:szCs w:val="21"/>
              </w:rPr>
              <w:t>3</w:t>
            </w:r>
          </w:p>
        </w:tc>
        <w:tc>
          <w:tcPr>
            <w:tcW w:w="1417" w:type="dxa"/>
          </w:tcPr>
          <w:p>
            <w:pPr>
              <w:rPr>
                <w:rFonts w:ascii="宋体" w:hAnsi="宋体"/>
                <w:color w:val="000000" w:themeColor="text1"/>
                <w:kern w:val="0"/>
                <w:sz w:val="21"/>
                <w:szCs w:val="21"/>
              </w:rPr>
            </w:pPr>
            <w:r>
              <w:rPr>
                <w:rFonts w:ascii="宋体" w:hAnsi="宋体"/>
                <w:color w:val="000000" w:themeColor="text1"/>
                <w:kern w:val="0"/>
                <w:sz w:val="21"/>
                <w:szCs w:val="21"/>
              </w:rPr>
              <w:t>用户管理</w:t>
            </w:r>
          </w:p>
        </w:tc>
        <w:tc>
          <w:tcPr>
            <w:tcW w:w="6033" w:type="dxa"/>
          </w:tcPr>
          <w:p>
            <w:pPr>
              <w:rPr>
                <w:rFonts w:ascii="宋体" w:hAnsi="宋体"/>
                <w:color w:val="000000" w:themeColor="text1"/>
                <w:kern w:val="0"/>
                <w:sz w:val="21"/>
                <w:szCs w:val="21"/>
              </w:rPr>
            </w:pPr>
            <w:r>
              <w:rPr>
                <w:rFonts w:hint="eastAsia" w:ascii="宋体" w:hAnsi="宋体"/>
                <w:color w:val="000000" w:themeColor="text1"/>
                <w:kern w:val="0"/>
                <w:sz w:val="21"/>
                <w:szCs w:val="21"/>
              </w:rPr>
              <w:t>对用户信息进行增删改查</w:t>
            </w:r>
          </w:p>
          <w:p>
            <w:pPr>
              <w:rPr>
                <w:rFonts w:ascii="宋体" w:hAnsi="宋体"/>
                <w:color w:val="000000" w:themeColor="text1"/>
                <w:kern w:val="0"/>
                <w:sz w:val="21"/>
                <w:szCs w:val="21"/>
              </w:rPr>
            </w:pPr>
            <w:r>
              <w:rPr>
                <w:rFonts w:hint="eastAsia" w:ascii="宋体" w:hAnsi="宋体"/>
                <w:color w:val="000000" w:themeColor="text1"/>
                <w:kern w:val="0"/>
                <w:sz w:val="21"/>
                <w:szCs w:val="21"/>
              </w:rPr>
              <w:t>可手动条件用户信息到对应的部门</w:t>
            </w:r>
          </w:p>
          <w:p>
            <w:pPr>
              <w:rPr>
                <w:rFonts w:ascii="宋体" w:hAnsi="宋体"/>
                <w:color w:val="000000" w:themeColor="text1"/>
                <w:kern w:val="0"/>
                <w:sz w:val="21"/>
                <w:szCs w:val="21"/>
              </w:rPr>
            </w:pPr>
            <w:r>
              <w:rPr>
                <w:rFonts w:hint="eastAsia" w:ascii="宋体" w:hAnsi="宋体"/>
                <w:color w:val="000000" w:themeColor="text1"/>
                <w:kern w:val="0"/>
                <w:sz w:val="21"/>
                <w:szCs w:val="21"/>
              </w:rPr>
              <w:t>可批量导入导出用户信息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宋体" w:hAnsi="宋体"/>
                <w:color w:val="000000" w:themeColor="text1"/>
                <w:kern w:val="0"/>
                <w:sz w:val="21"/>
                <w:szCs w:val="21"/>
              </w:rPr>
            </w:pPr>
            <w:r>
              <w:rPr>
                <w:rFonts w:hint="eastAsia" w:ascii="宋体" w:hAnsi="宋体"/>
                <w:color w:val="000000" w:themeColor="text1"/>
                <w:kern w:val="0"/>
                <w:sz w:val="21"/>
                <w:szCs w:val="21"/>
              </w:rPr>
              <w:t>4</w:t>
            </w:r>
          </w:p>
        </w:tc>
        <w:tc>
          <w:tcPr>
            <w:tcW w:w="1417" w:type="dxa"/>
          </w:tcPr>
          <w:p>
            <w:pPr>
              <w:rPr>
                <w:rFonts w:ascii="宋体" w:hAnsi="宋体"/>
                <w:color w:val="000000" w:themeColor="text1"/>
                <w:kern w:val="0"/>
                <w:sz w:val="21"/>
                <w:szCs w:val="21"/>
              </w:rPr>
            </w:pPr>
            <w:r>
              <w:rPr>
                <w:rFonts w:ascii="宋体" w:hAnsi="宋体"/>
                <w:color w:val="000000" w:themeColor="text1"/>
                <w:kern w:val="0"/>
                <w:sz w:val="21"/>
                <w:szCs w:val="21"/>
              </w:rPr>
              <w:t>内外网环境判断条件设置</w:t>
            </w:r>
          </w:p>
        </w:tc>
        <w:tc>
          <w:tcPr>
            <w:tcW w:w="6033" w:type="dxa"/>
          </w:tcPr>
          <w:p>
            <w:pPr>
              <w:rPr>
                <w:rFonts w:ascii="宋体" w:hAnsi="宋体"/>
                <w:color w:val="000000" w:themeColor="text1"/>
                <w:kern w:val="0"/>
                <w:sz w:val="21"/>
                <w:szCs w:val="21"/>
              </w:rPr>
            </w:pPr>
            <w:r>
              <w:rPr>
                <w:rFonts w:hint="eastAsia" w:ascii="宋体" w:hAnsi="宋体"/>
                <w:color w:val="000000" w:themeColor="text1"/>
                <w:kern w:val="0"/>
                <w:sz w:val="21"/>
                <w:szCs w:val="21"/>
              </w:rPr>
              <w:t>设置条件以便</w:t>
            </w:r>
            <w:r>
              <w:rPr>
                <w:rFonts w:ascii="宋体" w:hAnsi="宋体"/>
                <w:color w:val="000000" w:themeColor="text1"/>
                <w:kern w:val="0"/>
                <w:sz w:val="21"/>
                <w:szCs w:val="21"/>
              </w:rPr>
              <w:t>u盘程序判断是否在内网环境</w:t>
            </w:r>
            <w:r>
              <w:rPr>
                <w:rFonts w:hint="eastAsia" w:ascii="宋体" w:hAnsi="宋体"/>
                <w:color w:val="000000" w:themeColor="text1"/>
                <w:kern w:val="0"/>
                <w:sz w:val="21"/>
                <w:szCs w:val="21"/>
              </w:rPr>
              <w:t>包含</w:t>
            </w:r>
            <w:r>
              <w:rPr>
                <w:rFonts w:ascii="宋体" w:hAnsi="宋体"/>
                <w:color w:val="000000" w:themeColor="text1"/>
                <w:kern w:val="0"/>
                <w:sz w:val="21"/>
                <w:szCs w:val="21"/>
              </w:rPr>
              <w:t>Windows及Linux系统下的条件</w:t>
            </w:r>
            <w:r>
              <w:rPr>
                <w:rFonts w:hint="eastAsia" w:ascii="宋体" w:hAnsi="宋体"/>
                <w:color w:val="000000" w:themeColor="text1"/>
                <w:kern w:val="0"/>
                <w:sz w:val="21"/>
                <w:szCs w:val="21"/>
              </w:rPr>
              <w:t>；</w:t>
            </w:r>
          </w:p>
          <w:p>
            <w:pPr>
              <w:rPr>
                <w:rFonts w:ascii="宋体" w:hAnsi="宋体"/>
                <w:color w:val="000000" w:themeColor="text1"/>
                <w:kern w:val="0"/>
                <w:sz w:val="21"/>
                <w:szCs w:val="21"/>
              </w:rPr>
            </w:pPr>
            <w:r>
              <w:rPr>
                <w:rFonts w:hint="eastAsia" w:ascii="宋体" w:hAnsi="宋体"/>
                <w:color w:val="000000" w:themeColor="text1"/>
                <w:kern w:val="0"/>
                <w:sz w:val="21"/>
                <w:szCs w:val="21"/>
              </w:rPr>
              <w:t>1、▲</w:t>
            </w:r>
            <w:r>
              <w:rPr>
                <w:rFonts w:ascii="宋体" w:hAnsi="宋体"/>
                <w:color w:val="000000" w:themeColor="text1"/>
                <w:kern w:val="0"/>
                <w:sz w:val="21"/>
                <w:szCs w:val="21"/>
              </w:rPr>
              <w:t>Windows下包含服务器地址、进程名、注册表路径、注册表值、文件路径、文件包含字符串等判断条件</w:t>
            </w:r>
            <w:r>
              <w:rPr>
                <w:rFonts w:hint="eastAsia" w:ascii="宋体" w:hAnsi="宋体"/>
                <w:color w:val="000000" w:themeColor="text1"/>
                <w:kern w:val="0"/>
                <w:sz w:val="21"/>
                <w:szCs w:val="21"/>
              </w:rPr>
              <w:t>。（提供界面截图证明加盖原厂商公章）</w:t>
            </w:r>
          </w:p>
          <w:p>
            <w:pPr>
              <w:rPr>
                <w:rFonts w:ascii="宋体" w:hAnsi="宋体"/>
                <w:color w:val="000000" w:themeColor="text1"/>
                <w:kern w:val="0"/>
                <w:sz w:val="21"/>
                <w:szCs w:val="21"/>
              </w:rPr>
            </w:pPr>
            <w:r>
              <w:rPr>
                <w:rFonts w:hint="eastAsia" w:ascii="宋体" w:hAnsi="宋体"/>
                <w:color w:val="000000" w:themeColor="text1"/>
                <w:kern w:val="0"/>
                <w:sz w:val="21"/>
                <w:szCs w:val="21"/>
              </w:rPr>
              <w:t>2、▲</w:t>
            </w:r>
            <w:r>
              <w:rPr>
                <w:rFonts w:ascii="宋体" w:hAnsi="宋体"/>
                <w:color w:val="000000" w:themeColor="text1"/>
                <w:kern w:val="0"/>
                <w:sz w:val="21"/>
                <w:szCs w:val="21"/>
              </w:rPr>
              <w:t>Linux下包含服务器地址、进程名、文件路径、文件包含字符串等判断条件</w:t>
            </w:r>
            <w:r>
              <w:rPr>
                <w:rFonts w:hint="eastAsia" w:ascii="宋体" w:hAnsi="宋体"/>
                <w:color w:val="000000" w:themeColor="text1"/>
                <w:kern w:val="0"/>
                <w:sz w:val="21"/>
                <w:szCs w:val="21"/>
              </w:rPr>
              <w:t>。（提供界面截图证明加盖原厂商公章）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宋体" w:hAnsi="宋体"/>
                <w:color w:val="000000" w:themeColor="text1"/>
                <w:kern w:val="0"/>
                <w:sz w:val="21"/>
                <w:szCs w:val="21"/>
              </w:rPr>
            </w:pPr>
            <w:r>
              <w:rPr>
                <w:rFonts w:hint="eastAsia" w:ascii="宋体" w:hAnsi="宋体"/>
                <w:color w:val="000000" w:themeColor="text1"/>
                <w:kern w:val="0"/>
                <w:sz w:val="21"/>
                <w:szCs w:val="21"/>
              </w:rPr>
              <w:t>5</w:t>
            </w:r>
          </w:p>
        </w:tc>
        <w:tc>
          <w:tcPr>
            <w:tcW w:w="1417" w:type="dxa"/>
          </w:tcPr>
          <w:p>
            <w:pPr>
              <w:rPr>
                <w:rFonts w:ascii="宋体" w:hAnsi="宋体"/>
                <w:color w:val="000000" w:themeColor="text1"/>
                <w:kern w:val="0"/>
                <w:sz w:val="21"/>
                <w:szCs w:val="21"/>
              </w:rPr>
            </w:pPr>
            <w:r>
              <w:rPr>
                <w:rFonts w:hint="eastAsia" w:ascii="宋体" w:hAnsi="宋体"/>
                <w:color w:val="000000" w:themeColor="text1"/>
                <w:kern w:val="0"/>
                <w:sz w:val="21"/>
                <w:szCs w:val="21"/>
              </w:rPr>
              <w:t>▲日志服务器设置</w:t>
            </w:r>
          </w:p>
        </w:tc>
        <w:tc>
          <w:tcPr>
            <w:tcW w:w="6033" w:type="dxa"/>
          </w:tcPr>
          <w:p>
            <w:pPr>
              <w:rPr>
                <w:rFonts w:ascii="宋体" w:hAnsi="宋体"/>
                <w:color w:val="000000" w:themeColor="text1"/>
                <w:kern w:val="0"/>
                <w:sz w:val="21"/>
                <w:szCs w:val="21"/>
              </w:rPr>
            </w:pPr>
            <w:r>
              <w:rPr>
                <w:rFonts w:hint="eastAsia" w:ascii="宋体" w:hAnsi="宋体"/>
                <w:color w:val="000000" w:themeColor="text1"/>
                <w:kern w:val="0"/>
                <w:sz w:val="21"/>
                <w:szCs w:val="21"/>
              </w:rPr>
              <w:t>可设置</w:t>
            </w:r>
            <w:r>
              <w:rPr>
                <w:rFonts w:ascii="宋体" w:hAnsi="宋体"/>
                <w:color w:val="000000" w:themeColor="text1"/>
                <w:kern w:val="0"/>
                <w:sz w:val="21"/>
                <w:szCs w:val="21"/>
              </w:rPr>
              <w:t>SysLog日志服务器的地址及端口</w:t>
            </w:r>
            <w:r>
              <w:rPr>
                <w:rFonts w:hint="eastAsia" w:ascii="宋体" w:hAnsi="宋体"/>
                <w:color w:val="000000" w:themeColor="text1"/>
                <w:kern w:val="0"/>
                <w:sz w:val="21"/>
                <w:szCs w:val="21"/>
              </w:rPr>
              <w:t>。（提供界面截图证明加盖原厂商公章）</w:t>
            </w:r>
          </w:p>
        </w:tc>
      </w:tr>
    </w:tbl>
    <w:p>
      <w:pPr>
        <w:ind w:firstLine="420" w:firstLineChars="200"/>
        <w:rPr>
          <w:color w:val="000000" w:themeColor="text1"/>
        </w:rPr>
      </w:pPr>
    </w:p>
    <w:p>
      <w:pPr>
        <w:pStyle w:val="3"/>
        <w:numPr>
          <w:ilvl w:val="2"/>
          <w:numId w:val="0"/>
        </w:numPr>
        <w:spacing w:line="360" w:lineRule="auto"/>
        <w:ind w:left="720" w:hanging="720"/>
        <w:rPr>
          <w:color w:val="000000" w:themeColor="text1"/>
        </w:rPr>
      </w:pPr>
      <w:r>
        <w:rPr>
          <w:rFonts w:hint="eastAsia"/>
          <w:color w:val="000000" w:themeColor="text1"/>
        </w:rPr>
        <w:t>原终端安全管理系统版本升级功能要求</w:t>
      </w:r>
    </w:p>
    <w:tbl>
      <w:tblPr>
        <w:tblStyle w:val="1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1165"/>
        <w:gridCol w:w="6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rPr>
                <w:b/>
                <w:color w:val="000000" w:themeColor="text1"/>
                <w:szCs w:val="21"/>
              </w:rPr>
            </w:pPr>
            <w:r>
              <w:rPr>
                <w:rFonts w:hint="eastAsia"/>
                <w:b/>
                <w:color w:val="000000" w:themeColor="text1"/>
                <w:szCs w:val="21"/>
              </w:rPr>
              <w:t>名称</w:t>
            </w:r>
          </w:p>
        </w:tc>
        <w:tc>
          <w:tcPr>
            <w:tcW w:w="1165" w:type="dxa"/>
            <w:shd w:val="clear" w:color="auto" w:fill="auto"/>
            <w:vAlign w:val="center"/>
          </w:tcPr>
          <w:p>
            <w:pPr>
              <w:rPr>
                <w:b/>
                <w:color w:val="000000" w:themeColor="text1"/>
                <w:szCs w:val="21"/>
              </w:rPr>
            </w:pPr>
            <w:r>
              <w:rPr>
                <w:rFonts w:hint="eastAsia"/>
                <w:b/>
                <w:color w:val="000000" w:themeColor="text1"/>
                <w:szCs w:val="21"/>
              </w:rPr>
              <w:t>指标项</w:t>
            </w:r>
          </w:p>
        </w:tc>
        <w:tc>
          <w:tcPr>
            <w:tcW w:w="6102" w:type="dxa"/>
            <w:shd w:val="clear" w:color="auto" w:fill="auto"/>
            <w:vAlign w:val="center"/>
          </w:tcPr>
          <w:p>
            <w:pPr>
              <w:ind w:firstLine="361"/>
              <w:jc w:val="center"/>
              <w:rPr>
                <w:b/>
                <w:color w:val="000000" w:themeColor="text1"/>
                <w:szCs w:val="21"/>
              </w:rPr>
            </w:pPr>
            <w:r>
              <w:rPr>
                <w:rFonts w:hint="eastAsia"/>
                <w:b/>
                <w:color w:val="000000" w:themeColor="text1"/>
                <w:szCs w:val="21"/>
              </w:rPr>
              <w:t>指标技术</w:t>
            </w:r>
            <w:r>
              <w:rPr>
                <w:b/>
                <w:color w:val="000000" w:themeColor="text1"/>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restart"/>
          </w:tcPr>
          <w:p>
            <w:pPr>
              <w:rPr>
                <w:color w:val="000000" w:themeColor="text1"/>
                <w:szCs w:val="21"/>
              </w:rPr>
            </w:pPr>
            <w:r>
              <w:rPr>
                <w:rFonts w:hint="eastAsia"/>
                <w:color w:val="000000" w:themeColor="text1"/>
                <w:szCs w:val="21"/>
              </w:rPr>
              <w:t>主机监控与审计系统功能</w:t>
            </w:r>
          </w:p>
        </w:tc>
        <w:tc>
          <w:tcPr>
            <w:tcW w:w="1165" w:type="dxa"/>
            <w:shd w:val="clear" w:color="auto" w:fill="auto"/>
            <w:vAlign w:val="center"/>
          </w:tcPr>
          <w:p>
            <w:pPr>
              <w:rPr>
                <w:color w:val="000000" w:themeColor="text1"/>
                <w:szCs w:val="21"/>
              </w:rPr>
            </w:pPr>
            <w:r>
              <w:rPr>
                <w:rFonts w:hint="eastAsia"/>
                <w:color w:val="000000" w:themeColor="text1"/>
                <w:szCs w:val="21"/>
              </w:rPr>
              <w:t>性能要求</w:t>
            </w:r>
          </w:p>
        </w:tc>
        <w:tc>
          <w:tcPr>
            <w:tcW w:w="6102" w:type="dxa"/>
            <w:shd w:val="clear" w:color="auto" w:fill="auto"/>
            <w:vAlign w:val="center"/>
          </w:tcPr>
          <w:p>
            <w:pPr>
              <w:rPr>
                <w:color w:val="000000" w:themeColor="text1"/>
                <w:szCs w:val="21"/>
              </w:rPr>
            </w:pPr>
            <w:r>
              <w:rPr>
                <w:rFonts w:hint="eastAsia"/>
                <w:color w:val="000000" w:themeColor="text1"/>
                <w:szCs w:val="21"/>
              </w:rPr>
              <w:t>支持</w:t>
            </w:r>
            <w:r>
              <w:rPr>
                <w:color w:val="000000" w:themeColor="text1"/>
                <w:szCs w:val="21"/>
              </w:rPr>
              <w:t>win2000\2003\XP\Vista\WIN7</w:t>
            </w:r>
            <w:r>
              <w:rPr>
                <w:rFonts w:hint="eastAsia"/>
                <w:color w:val="000000" w:themeColor="text1"/>
                <w:szCs w:val="21"/>
              </w:rPr>
              <w:t>\银河麒麟\中标麒麟</w:t>
            </w:r>
            <w:r>
              <w:rPr>
                <w:color w:val="000000" w:themeColor="text1"/>
                <w:szCs w:val="21"/>
              </w:rPr>
              <w:t>等操作系统，集成主机桌面管理、操作系统和补丁管理、身份鉴别、电子文档管理、网络访问控制和系统可视化管理等十多类功能于一体。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pPr>
              <w:rPr>
                <w:color w:val="000000" w:themeColor="text1"/>
                <w:szCs w:val="21"/>
              </w:rPr>
            </w:pPr>
          </w:p>
        </w:tc>
        <w:tc>
          <w:tcPr>
            <w:tcW w:w="1165" w:type="dxa"/>
            <w:shd w:val="clear" w:color="auto" w:fill="auto"/>
            <w:vAlign w:val="center"/>
          </w:tcPr>
          <w:p>
            <w:pPr>
              <w:rPr>
                <w:color w:val="000000" w:themeColor="text1"/>
                <w:szCs w:val="21"/>
              </w:rPr>
            </w:pPr>
            <w:r>
              <w:rPr>
                <w:rFonts w:hint="eastAsia"/>
                <w:color w:val="000000" w:themeColor="text1"/>
                <w:szCs w:val="21"/>
              </w:rPr>
              <w:t>管理用户分级</w:t>
            </w:r>
          </w:p>
        </w:tc>
        <w:tc>
          <w:tcPr>
            <w:tcW w:w="6102" w:type="dxa"/>
            <w:shd w:val="clear" w:color="auto" w:fill="auto"/>
            <w:vAlign w:val="center"/>
          </w:tcPr>
          <w:p>
            <w:pPr>
              <w:rPr>
                <w:color w:val="000000" w:themeColor="text1"/>
                <w:szCs w:val="21"/>
              </w:rPr>
            </w:pPr>
            <w:r>
              <w:rPr>
                <w:rFonts w:hint="eastAsia"/>
                <w:color w:val="000000" w:themeColor="text1"/>
                <w:szCs w:val="21"/>
              </w:rPr>
              <w:t>采用“三权分立”的用户管理权限：分别是系统管理员、安全保密管理员和安全审计员，可对各自不同的权限管理和日志管理等。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pPr>
              <w:rPr>
                <w:color w:val="000000" w:themeColor="text1"/>
                <w:szCs w:val="21"/>
              </w:rPr>
            </w:pPr>
          </w:p>
        </w:tc>
        <w:tc>
          <w:tcPr>
            <w:tcW w:w="1165" w:type="dxa"/>
            <w:shd w:val="clear" w:color="auto" w:fill="auto"/>
            <w:vAlign w:val="center"/>
          </w:tcPr>
          <w:p>
            <w:pPr>
              <w:rPr>
                <w:color w:val="000000" w:themeColor="text1"/>
                <w:szCs w:val="21"/>
              </w:rPr>
            </w:pPr>
            <w:r>
              <w:rPr>
                <w:rFonts w:hint="eastAsia"/>
                <w:color w:val="000000" w:themeColor="text1"/>
                <w:szCs w:val="21"/>
              </w:rPr>
              <w:t>▲操作系统支持</w:t>
            </w:r>
          </w:p>
        </w:tc>
        <w:tc>
          <w:tcPr>
            <w:tcW w:w="6102" w:type="dxa"/>
            <w:shd w:val="clear" w:color="auto" w:fill="auto"/>
            <w:vAlign w:val="center"/>
          </w:tcPr>
          <w:p>
            <w:pPr>
              <w:rPr>
                <w:color w:val="000000" w:themeColor="text1"/>
                <w:szCs w:val="21"/>
              </w:rPr>
            </w:pPr>
            <w:r>
              <w:rPr>
                <w:rFonts w:hint="eastAsia"/>
                <w:color w:val="000000" w:themeColor="text1"/>
                <w:szCs w:val="21"/>
              </w:rPr>
              <w:t>支持国产操作系统中标麒麟、中科方德、银河麒麟满足国产化保密要求，提供证明材盖原厂盖章证明。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pPr>
              <w:rPr>
                <w:color w:val="000000" w:themeColor="text1"/>
                <w:szCs w:val="21"/>
              </w:rPr>
            </w:pPr>
          </w:p>
        </w:tc>
        <w:tc>
          <w:tcPr>
            <w:tcW w:w="1165" w:type="dxa"/>
            <w:shd w:val="clear" w:color="auto" w:fill="auto"/>
            <w:vAlign w:val="center"/>
          </w:tcPr>
          <w:p>
            <w:pPr>
              <w:rPr>
                <w:color w:val="000000" w:themeColor="text1"/>
                <w:szCs w:val="21"/>
              </w:rPr>
            </w:pPr>
            <w:r>
              <w:rPr>
                <w:rFonts w:hint="eastAsia"/>
                <w:color w:val="000000" w:themeColor="text1"/>
                <w:szCs w:val="21"/>
              </w:rPr>
              <w:t>服务器自保护</w:t>
            </w:r>
          </w:p>
        </w:tc>
        <w:tc>
          <w:tcPr>
            <w:tcW w:w="6102" w:type="dxa"/>
            <w:shd w:val="clear" w:color="auto" w:fill="auto"/>
            <w:vAlign w:val="center"/>
          </w:tcPr>
          <w:p>
            <w:pPr>
              <w:rPr>
                <w:color w:val="000000" w:themeColor="text1"/>
                <w:szCs w:val="21"/>
              </w:rPr>
            </w:pPr>
            <w:r>
              <w:rPr>
                <w:rFonts w:hint="eastAsia"/>
                <w:color w:val="000000" w:themeColor="text1"/>
                <w:szCs w:val="21"/>
              </w:rPr>
              <w:t>当服务器通信端口负载超重时，服务器守护进程可自动重启服务器。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pPr>
              <w:rPr>
                <w:color w:val="000000" w:themeColor="text1"/>
                <w:szCs w:val="21"/>
              </w:rPr>
            </w:pPr>
          </w:p>
        </w:tc>
        <w:tc>
          <w:tcPr>
            <w:tcW w:w="1165" w:type="dxa"/>
            <w:shd w:val="clear" w:color="auto" w:fill="auto"/>
            <w:vAlign w:val="center"/>
          </w:tcPr>
          <w:p>
            <w:pPr>
              <w:rPr>
                <w:color w:val="000000" w:themeColor="text1"/>
                <w:szCs w:val="21"/>
              </w:rPr>
            </w:pPr>
            <w:r>
              <w:rPr>
                <w:rFonts w:hint="eastAsia"/>
                <w:color w:val="000000" w:themeColor="text1"/>
                <w:szCs w:val="21"/>
              </w:rPr>
              <w:t>违规外联监控</w:t>
            </w:r>
          </w:p>
        </w:tc>
        <w:tc>
          <w:tcPr>
            <w:tcW w:w="6102" w:type="dxa"/>
            <w:shd w:val="clear" w:color="auto" w:fill="auto"/>
            <w:vAlign w:val="center"/>
          </w:tcPr>
          <w:p>
            <w:pPr>
              <w:rPr>
                <w:color w:val="000000" w:themeColor="text1"/>
                <w:szCs w:val="21"/>
              </w:rPr>
            </w:pPr>
            <w:r>
              <w:rPr>
                <w:rFonts w:hint="eastAsia"/>
                <w:color w:val="000000" w:themeColor="text1"/>
                <w:szCs w:val="21"/>
              </w:rPr>
              <w:t>防止对拨号设备（</w:t>
            </w:r>
            <w:r>
              <w:rPr>
                <w:color w:val="000000" w:themeColor="text1"/>
                <w:szCs w:val="21"/>
              </w:rPr>
              <w:t>Modem，ADSL及无线网卡）或其他外联设备的使用，能够及时发现并阻止非法外联。能够对用户使用计算机上网或收发邮件等行为进行记录和报警，另外能够对网络端口进行监控，并控制聊天工具的使用。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pPr>
              <w:rPr>
                <w:color w:val="000000" w:themeColor="text1"/>
                <w:szCs w:val="21"/>
              </w:rPr>
            </w:pPr>
          </w:p>
        </w:tc>
        <w:tc>
          <w:tcPr>
            <w:tcW w:w="1165" w:type="dxa"/>
            <w:shd w:val="clear" w:color="auto" w:fill="auto"/>
            <w:vAlign w:val="center"/>
          </w:tcPr>
          <w:p>
            <w:pPr>
              <w:rPr>
                <w:color w:val="000000" w:themeColor="text1"/>
                <w:szCs w:val="21"/>
              </w:rPr>
            </w:pPr>
            <w:r>
              <w:rPr>
                <w:rFonts w:hint="eastAsia"/>
                <w:color w:val="000000" w:themeColor="text1"/>
                <w:szCs w:val="21"/>
              </w:rPr>
              <w:t>非法接入监控</w:t>
            </w:r>
          </w:p>
        </w:tc>
        <w:tc>
          <w:tcPr>
            <w:tcW w:w="6102" w:type="dxa"/>
            <w:shd w:val="clear" w:color="auto" w:fill="auto"/>
            <w:vAlign w:val="center"/>
          </w:tcPr>
          <w:p>
            <w:pPr>
              <w:rPr>
                <w:color w:val="000000" w:themeColor="text1"/>
                <w:szCs w:val="21"/>
              </w:rPr>
            </w:pPr>
            <w:r>
              <w:rPr>
                <w:rFonts w:hint="eastAsia"/>
                <w:color w:val="000000" w:themeColor="text1"/>
                <w:szCs w:val="21"/>
              </w:rPr>
              <w:t>获取未安装客户端的非法主机，发出报警信息，采用分布式防护实时阻断非法主机的接入。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pPr>
              <w:rPr>
                <w:color w:val="000000" w:themeColor="text1"/>
                <w:szCs w:val="21"/>
              </w:rPr>
            </w:pPr>
          </w:p>
        </w:tc>
        <w:tc>
          <w:tcPr>
            <w:tcW w:w="1165" w:type="dxa"/>
            <w:shd w:val="clear" w:color="auto" w:fill="auto"/>
            <w:vAlign w:val="center"/>
          </w:tcPr>
          <w:p>
            <w:pPr>
              <w:rPr>
                <w:color w:val="000000" w:themeColor="text1"/>
                <w:szCs w:val="21"/>
              </w:rPr>
            </w:pPr>
            <w:r>
              <w:rPr>
                <w:rFonts w:hint="eastAsia"/>
                <w:color w:val="000000" w:themeColor="text1"/>
                <w:szCs w:val="21"/>
              </w:rPr>
              <w:t>主机信息获取</w:t>
            </w:r>
          </w:p>
        </w:tc>
        <w:tc>
          <w:tcPr>
            <w:tcW w:w="6102" w:type="dxa"/>
            <w:shd w:val="clear" w:color="auto" w:fill="auto"/>
            <w:vAlign w:val="center"/>
          </w:tcPr>
          <w:p>
            <w:pPr>
              <w:rPr>
                <w:color w:val="000000" w:themeColor="text1"/>
                <w:szCs w:val="21"/>
              </w:rPr>
            </w:pPr>
            <w:r>
              <w:rPr>
                <w:rFonts w:hint="eastAsia"/>
                <w:color w:val="000000" w:themeColor="text1"/>
                <w:szCs w:val="21"/>
              </w:rPr>
              <w:t>系统能够自动获取终端的静态（</w:t>
            </w:r>
            <w:r>
              <w:rPr>
                <w:color w:val="000000" w:themeColor="text1"/>
                <w:szCs w:val="21"/>
              </w:rPr>
              <w:t>IP地址、MAC地址、系统内存）和动态（设备使用情况、共享情况、拨号情况、主机帐号等）信息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pPr>
              <w:rPr>
                <w:color w:val="000000" w:themeColor="text1"/>
                <w:szCs w:val="21"/>
              </w:rPr>
            </w:pPr>
          </w:p>
        </w:tc>
        <w:tc>
          <w:tcPr>
            <w:tcW w:w="1165" w:type="dxa"/>
            <w:shd w:val="clear" w:color="auto" w:fill="auto"/>
            <w:vAlign w:val="center"/>
          </w:tcPr>
          <w:p>
            <w:pPr>
              <w:rPr>
                <w:color w:val="000000" w:themeColor="text1"/>
                <w:szCs w:val="21"/>
              </w:rPr>
            </w:pPr>
            <w:r>
              <w:rPr>
                <w:rFonts w:hint="eastAsia"/>
                <w:color w:val="000000" w:themeColor="text1"/>
                <w:szCs w:val="21"/>
              </w:rPr>
              <w:t>身份认证</w:t>
            </w:r>
          </w:p>
        </w:tc>
        <w:tc>
          <w:tcPr>
            <w:tcW w:w="6102" w:type="dxa"/>
            <w:shd w:val="clear" w:color="auto" w:fill="auto"/>
            <w:vAlign w:val="center"/>
          </w:tcPr>
          <w:p>
            <w:pPr>
              <w:rPr>
                <w:color w:val="000000" w:themeColor="text1"/>
                <w:szCs w:val="21"/>
              </w:rPr>
            </w:pPr>
            <w:r>
              <w:rPr>
                <w:rFonts w:hint="eastAsia"/>
                <w:color w:val="000000" w:themeColor="text1"/>
                <w:szCs w:val="21"/>
              </w:rPr>
              <w:t>系统可基于</w:t>
            </w:r>
            <w:r>
              <w:rPr>
                <w:color w:val="000000" w:themeColor="text1"/>
                <w:szCs w:val="21"/>
              </w:rPr>
              <w:t>CA的身份认证及权限管理，“用户名、口令+USB-KEY”双因子认证模式，对终端主机、服务器等本地、远程登录进行身份认证。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pPr>
              <w:rPr>
                <w:color w:val="000000" w:themeColor="text1"/>
                <w:szCs w:val="21"/>
              </w:rPr>
            </w:pPr>
          </w:p>
        </w:tc>
        <w:tc>
          <w:tcPr>
            <w:tcW w:w="1165" w:type="dxa"/>
            <w:shd w:val="clear" w:color="auto" w:fill="auto"/>
            <w:vAlign w:val="center"/>
          </w:tcPr>
          <w:p>
            <w:pPr>
              <w:rPr>
                <w:color w:val="000000" w:themeColor="text1"/>
                <w:szCs w:val="21"/>
              </w:rPr>
            </w:pPr>
            <w:r>
              <w:rPr>
                <w:rFonts w:hint="eastAsia"/>
                <w:color w:val="000000" w:themeColor="text1"/>
                <w:szCs w:val="21"/>
              </w:rPr>
              <w:t>数据交换</w:t>
            </w:r>
          </w:p>
        </w:tc>
        <w:tc>
          <w:tcPr>
            <w:tcW w:w="6102" w:type="dxa"/>
            <w:shd w:val="clear" w:color="auto" w:fill="auto"/>
            <w:vAlign w:val="center"/>
          </w:tcPr>
          <w:p>
            <w:pPr>
              <w:rPr>
                <w:color w:val="000000" w:themeColor="text1"/>
                <w:szCs w:val="21"/>
              </w:rPr>
            </w:pPr>
            <w:r>
              <w:rPr>
                <w:rFonts w:hint="eastAsia"/>
                <w:color w:val="000000" w:themeColor="text1"/>
                <w:szCs w:val="21"/>
              </w:rPr>
              <w:t>外网和内网的数据交换通过中间机系统完成。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pPr>
              <w:rPr>
                <w:color w:val="000000" w:themeColor="text1"/>
                <w:szCs w:val="21"/>
              </w:rPr>
            </w:pPr>
          </w:p>
        </w:tc>
        <w:tc>
          <w:tcPr>
            <w:tcW w:w="1165" w:type="dxa"/>
            <w:shd w:val="clear" w:color="auto" w:fill="auto"/>
            <w:vAlign w:val="center"/>
          </w:tcPr>
          <w:p>
            <w:pPr>
              <w:rPr>
                <w:color w:val="000000" w:themeColor="text1"/>
                <w:szCs w:val="21"/>
              </w:rPr>
            </w:pPr>
            <w:r>
              <w:rPr>
                <w:rFonts w:hint="eastAsia"/>
                <w:color w:val="000000" w:themeColor="text1"/>
                <w:szCs w:val="21"/>
              </w:rPr>
              <w:t>补丁分发</w:t>
            </w:r>
          </w:p>
        </w:tc>
        <w:tc>
          <w:tcPr>
            <w:tcW w:w="6102" w:type="dxa"/>
            <w:shd w:val="clear" w:color="auto" w:fill="auto"/>
            <w:vAlign w:val="center"/>
          </w:tcPr>
          <w:p>
            <w:pPr>
              <w:rPr>
                <w:color w:val="000000" w:themeColor="text1"/>
                <w:szCs w:val="21"/>
              </w:rPr>
            </w:pPr>
            <w:r>
              <w:rPr>
                <w:rFonts w:hint="eastAsia"/>
                <w:color w:val="000000" w:themeColor="text1"/>
                <w:szCs w:val="21"/>
              </w:rPr>
              <w:t>能够通过系统服务器端对系统内认证主机的操作系统的补丁自动分发。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pPr>
              <w:rPr>
                <w:color w:val="000000" w:themeColor="text1"/>
                <w:szCs w:val="21"/>
              </w:rPr>
            </w:pPr>
          </w:p>
        </w:tc>
        <w:tc>
          <w:tcPr>
            <w:tcW w:w="1165" w:type="dxa"/>
            <w:shd w:val="clear" w:color="auto" w:fill="auto"/>
            <w:vAlign w:val="center"/>
          </w:tcPr>
          <w:p>
            <w:pPr>
              <w:rPr>
                <w:color w:val="000000" w:themeColor="text1"/>
                <w:szCs w:val="21"/>
              </w:rPr>
            </w:pPr>
            <w:r>
              <w:rPr>
                <w:rFonts w:hint="eastAsia"/>
                <w:color w:val="000000" w:themeColor="text1"/>
                <w:szCs w:val="21"/>
              </w:rPr>
              <w:t>外设管理</w:t>
            </w:r>
          </w:p>
        </w:tc>
        <w:tc>
          <w:tcPr>
            <w:tcW w:w="6102" w:type="dxa"/>
            <w:shd w:val="clear" w:color="auto" w:fill="auto"/>
            <w:vAlign w:val="center"/>
          </w:tcPr>
          <w:p>
            <w:pPr>
              <w:rPr>
                <w:color w:val="000000" w:themeColor="text1"/>
                <w:szCs w:val="21"/>
              </w:rPr>
            </w:pPr>
            <w:r>
              <w:rPr>
                <w:rFonts w:hint="eastAsia"/>
                <w:color w:val="000000" w:themeColor="text1"/>
                <w:szCs w:val="21"/>
              </w:rPr>
              <w:t>可全面监控并口、串口、软驱、光驱、</w:t>
            </w:r>
            <w:r>
              <w:rPr>
                <w:color w:val="000000" w:themeColor="text1"/>
                <w:szCs w:val="21"/>
              </w:rPr>
              <w:t>PDA、1394、篮牙及SD卡等外设使用，并可定制特殊设备。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pPr>
              <w:rPr>
                <w:color w:val="000000" w:themeColor="text1"/>
                <w:szCs w:val="21"/>
              </w:rPr>
            </w:pPr>
          </w:p>
        </w:tc>
        <w:tc>
          <w:tcPr>
            <w:tcW w:w="1165" w:type="dxa"/>
            <w:shd w:val="clear" w:color="auto" w:fill="auto"/>
            <w:vAlign w:val="center"/>
          </w:tcPr>
          <w:p>
            <w:pPr>
              <w:rPr>
                <w:color w:val="000000" w:themeColor="text1"/>
                <w:szCs w:val="21"/>
              </w:rPr>
            </w:pPr>
            <w:r>
              <w:rPr>
                <w:rFonts w:hint="eastAsia"/>
                <w:color w:val="000000" w:themeColor="text1"/>
                <w:szCs w:val="21"/>
              </w:rPr>
              <w:t>打印监控</w:t>
            </w:r>
          </w:p>
        </w:tc>
        <w:tc>
          <w:tcPr>
            <w:tcW w:w="6102" w:type="dxa"/>
            <w:shd w:val="clear" w:color="auto" w:fill="auto"/>
            <w:vAlign w:val="center"/>
          </w:tcPr>
          <w:p>
            <w:pPr>
              <w:rPr>
                <w:color w:val="000000" w:themeColor="text1"/>
                <w:szCs w:val="21"/>
              </w:rPr>
            </w:pPr>
            <w:r>
              <w:rPr>
                <w:rFonts w:hint="eastAsia"/>
                <w:color w:val="000000" w:themeColor="text1"/>
                <w:szCs w:val="21"/>
              </w:rPr>
              <w:t>监控受控主机上的打印情况，可以禁止、记录、允许用户提交打印任务，并且可以还原打印信息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pPr>
              <w:rPr>
                <w:color w:val="000000" w:themeColor="text1"/>
                <w:szCs w:val="21"/>
              </w:rPr>
            </w:pPr>
          </w:p>
        </w:tc>
        <w:tc>
          <w:tcPr>
            <w:tcW w:w="1165" w:type="dxa"/>
            <w:shd w:val="clear" w:color="auto" w:fill="auto"/>
            <w:vAlign w:val="center"/>
          </w:tcPr>
          <w:p>
            <w:pPr>
              <w:rPr>
                <w:color w:val="000000" w:themeColor="text1"/>
                <w:szCs w:val="21"/>
              </w:rPr>
            </w:pPr>
            <w:r>
              <w:rPr>
                <w:rFonts w:hint="eastAsia"/>
                <w:color w:val="000000" w:themeColor="text1"/>
                <w:szCs w:val="21"/>
              </w:rPr>
              <w:t>主机性能监控</w:t>
            </w:r>
          </w:p>
        </w:tc>
        <w:tc>
          <w:tcPr>
            <w:tcW w:w="6102" w:type="dxa"/>
            <w:shd w:val="clear" w:color="auto" w:fill="auto"/>
            <w:vAlign w:val="center"/>
          </w:tcPr>
          <w:p>
            <w:pPr>
              <w:rPr>
                <w:color w:val="000000" w:themeColor="text1"/>
                <w:szCs w:val="21"/>
              </w:rPr>
            </w:pPr>
            <w:r>
              <w:rPr>
                <w:rFonts w:hint="eastAsia"/>
                <w:color w:val="000000" w:themeColor="text1"/>
                <w:szCs w:val="21"/>
              </w:rPr>
              <w:t>监控主机的</w:t>
            </w:r>
            <w:r>
              <w:rPr>
                <w:color w:val="000000" w:themeColor="text1"/>
                <w:szCs w:val="21"/>
              </w:rPr>
              <w:t>CPU、磁盘、内存、网络带宽的占用率和网络连接数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restart"/>
          </w:tcPr>
          <w:p>
            <w:pPr>
              <w:rPr>
                <w:color w:val="000000" w:themeColor="text1"/>
                <w:szCs w:val="21"/>
              </w:rPr>
            </w:pPr>
            <w:r>
              <w:rPr>
                <w:rFonts w:hint="eastAsia"/>
                <w:color w:val="000000" w:themeColor="text1"/>
                <w:szCs w:val="21"/>
              </w:rPr>
              <w:t>移动存储介质安全交换模块</w:t>
            </w:r>
          </w:p>
        </w:tc>
        <w:tc>
          <w:tcPr>
            <w:tcW w:w="1165" w:type="dxa"/>
            <w:shd w:val="clear" w:color="auto" w:fill="auto"/>
            <w:vAlign w:val="center"/>
          </w:tcPr>
          <w:p>
            <w:pPr>
              <w:rPr>
                <w:color w:val="000000" w:themeColor="text1"/>
                <w:szCs w:val="21"/>
              </w:rPr>
            </w:pPr>
            <w:r>
              <w:rPr>
                <w:rFonts w:hint="eastAsia"/>
                <w:color w:val="000000" w:themeColor="text1"/>
                <w:szCs w:val="21"/>
              </w:rPr>
              <w:t>▲移动存储介质注册系统</w:t>
            </w:r>
          </w:p>
        </w:tc>
        <w:tc>
          <w:tcPr>
            <w:tcW w:w="6102" w:type="dxa"/>
            <w:shd w:val="clear" w:color="auto" w:fill="auto"/>
            <w:vAlign w:val="center"/>
          </w:tcPr>
          <w:p>
            <w:pPr>
              <w:rPr>
                <w:color w:val="000000" w:themeColor="text1"/>
                <w:szCs w:val="21"/>
              </w:rPr>
            </w:pPr>
            <w:r>
              <w:rPr>
                <w:rFonts w:hint="eastAsia"/>
                <w:color w:val="000000" w:themeColor="text1"/>
                <w:szCs w:val="21"/>
              </w:rPr>
              <w:t>系统提供外设可控U盘注册工具，可对移动存储介质（可控U盘）进行注册，注册后在系统内可以实现关联对的使用单位人员，进行统一管理及朔源。（提供界面截图证明加盖原厂商公章）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pPr>
              <w:rPr>
                <w:color w:val="000000" w:themeColor="text1"/>
                <w:szCs w:val="21"/>
              </w:rPr>
            </w:pPr>
          </w:p>
        </w:tc>
        <w:tc>
          <w:tcPr>
            <w:tcW w:w="1165" w:type="dxa"/>
            <w:shd w:val="clear" w:color="auto" w:fill="auto"/>
            <w:vAlign w:val="center"/>
          </w:tcPr>
          <w:p>
            <w:pPr>
              <w:rPr>
                <w:color w:val="000000" w:themeColor="text1"/>
                <w:szCs w:val="21"/>
              </w:rPr>
            </w:pPr>
            <w:r>
              <w:rPr>
                <w:rFonts w:hint="eastAsia"/>
                <w:color w:val="000000" w:themeColor="text1"/>
                <w:szCs w:val="21"/>
              </w:rPr>
              <w:t>▲移动存储介质使用记录审计</w:t>
            </w:r>
          </w:p>
        </w:tc>
        <w:tc>
          <w:tcPr>
            <w:tcW w:w="6102" w:type="dxa"/>
            <w:shd w:val="clear" w:color="auto" w:fill="auto"/>
            <w:vAlign w:val="center"/>
          </w:tcPr>
          <w:p>
            <w:pPr>
              <w:rPr>
                <w:color w:val="000000" w:themeColor="text1"/>
                <w:szCs w:val="21"/>
              </w:rPr>
            </w:pPr>
            <w:r>
              <w:rPr>
                <w:rFonts w:hint="eastAsia"/>
                <w:color w:val="000000" w:themeColor="text1"/>
                <w:szCs w:val="21"/>
              </w:rPr>
              <w:t>内置日志服务器，可接收移动存储介质（可控U盘）发送的s</w:t>
            </w:r>
            <w:r>
              <w:rPr>
                <w:color w:val="000000" w:themeColor="text1"/>
                <w:szCs w:val="21"/>
              </w:rPr>
              <w:t>yslog</w:t>
            </w:r>
            <w:r>
              <w:rPr>
                <w:rFonts w:hint="eastAsia"/>
                <w:color w:val="000000" w:themeColor="text1"/>
                <w:szCs w:val="21"/>
              </w:rPr>
              <w:t>日志，进行关联分析至操作人员，审计U盘操作行为如插拔记录、增加删除文件、操作记录等。（提供界面截图证明加盖原厂商公章）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restart"/>
          </w:tcPr>
          <w:p>
            <w:pPr>
              <w:rPr>
                <w:color w:val="000000" w:themeColor="text1"/>
                <w:szCs w:val="21"/>
              </w:rPr>
            </w:pPr>
            <w:r>
              <w:rPr>
                <w:rFonts w:hint="eastAsia"/>
                <w:color w:val="000000" w:themeColor="text1"/>
                <w:szCs w:val="21"/>
              </w:rPr>
              <w:t>其他</w:t>
            </w:r>
          </w:p>
        </w:tc>
        <w:tc>
          <w:tcPr>
            <w:tcW w:w="1165" w:type="dxa"/>
            <w:shd w:val="clear" w:color="auto" w:fill="auto"/>
            <w:vAlign w:val="center"/>
          </w:tcPr>
          <w:p>
            <w:pPr>
              <w:rPr>
                <w:color w:val="000000" w:themeColor="text1"/>
                <w:szCs w:val="21"/>
              </w:rPr>
            </w:pPr>
            <w:r>
              <w:rPr>
                <w:rFonts w:hint="eastAsia"/>
                <w:color w:val="000000" w:themeColor="text1"/>
                <w:szCs w:val="21"/>
              </w:rPr>
              <w:t>▲主机监控与审计系统产品证书</w:t>
            </w:r>
          </w:p>
        </w:tc>
        <w:tc>
          <w:tcPr>
            <w:tcW w:w="6102" w:type="dxa"/>
            <w:shd w:val="clear" w:color="auto" w:fill="auto"/>
            <w:vAlign w:val="center"/>
          </w:tcPr>
          <w:p>
            <w:pPr>
              <w:rPr>
                <w:color w:val="000000" w:themeColor="text1"/>
                <w:szCs w:val="21"/>
              </w:rPr>
            </w:pPr>
            <w:r>
              <w:rPr>
                <w:color w:val="000000" w:themeColor="text1"/>
                <w:szCs w:val="21"/>
              </w:rPr>
              <w:t>1）公安部《计算机信息系统安全专用产品销售许可证》（三级）</w:t>
            </w:r>
          </w:p>
          <w:p>
            <w:pPr>
              <w:rPr>
                <w:color w:val="000000" w:themeColor="text1"/>
                <w:szCs w:val="21"/>
              </w:rPr>
            </w:pPr>
            <w:r>
              <w:rPr>
                <w:color w:val="000000" w:themeColor="text1"/>
                <w:szCs w:val="21"/>
              </w:rPr>
              <w:t>2）产品具有国家保密局《涉密信息系统产品检测证书》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pPr>
              <w:rPr>
                <w:color w:val="000000" w:themeColor="text1"/>
                <w:szCs w:val="21"/>
              </w:rPr>
            </w:pPr>
          </w:p>
        </w:tc>
        <w:tc>
          <w:tcPr>
            <w:tcW w:w="1165" w:type="dxa"/>
            <w:shd w:val="clear" w:color="auto" w:fill="auto"/>
          </w:tcPr>
          <w:p>
            <w:pPr>
              <w:rPr>
                <w:color w:val="000000" w:themeColor="text1"/>
                <w:szCs w:val="21"/>
              </w:rPr>
            </w:pPr>
            <w:r>
              <w:rPr>
                <w:rFonts w:hint="eastAsia"/>
                <w:color w:val="000000" w:themeColor="text1"/>
                <w:szCs w:val="21"/>
              </w:rPr>
              <w:t>售后服务</w:t>
            </w:r>
          </w:p>
        </w:tc>
        <w:tc>
          <w:tcPr>
            <w:tcW w:w="6102" w:type="dxa"/>
            <w:shd w:val="clear" w:color="auto" w:fill="auto"/>
          </w:tcPr>
          <w:p>
            <w:pPr>
              <w:ind w:firstLine="360"/>
              <w:rPr>
                <w:color w:val="000000" w:themeColor="text1"/>
                <w:szCs w:val="21"/>
              </w:rPr>
            </w:pPr>
            <w:r>
              <w:rPr>
                <w:color w:val="000000" w:themeColor="text1"/>
                <w:szCs w:val="21"/>
              </w:rPr>
              <w:t>提供三年原厂服务</w:t>
            </w:r>
          </w:p>
        </w:tc>
      </w:tr>
    </w:tbl>
    <w:p>
      <w:pPr>
        <w:rPr>
          <w:color w:val="000000" w:themeColor="text1"/>
        </w:rPr>
      </w:pPr>
    </w:p>
    <w:p>
      <w:pPr>
        <w:pStyle w:val="3"/>
        <w:numPr>
          <w:ilvl w:val="2"/>
          <w:numId w:val="0"/>
        </w:numPr>
        <w:spacing w:line="360" w:lineRule="auto"/>
        <w:ind w:left="720" w:hanging="720"/>
        <w:rPr>
          <w:color w:val="000000" w:themeColor="text1"/>
        </w:rPr>
      </w:pPr>
      <w:r>
        <w:rPr>
          <w:rFonts w:hint="eastAsia"/>
          <w:color w:val="000000" w:themeColor="text1"/>
        </w:rPr>
        <w:t>安全可控U盘技术参数要求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vAlign w:val="center"/>
          </w:tcPr>
          <w:p>
            <w:pPr>
              <w:ind w:firstLine="361"/>
              <w:jc w:val="center"/>
              <w:rPr>
                <w:rFonts w:ascii="宋体" w:hAnsi="宋体"/>
                <w:b/>
                <w:color w:val="000000" w:themeColor="text1"/>
                <w:szCs w:val="21"/>
              </w:rPr>
            </w:pPr>
            <w:r>
              <w:rPr>
                <w:rFonts w:hint="eastAsia" w:ascii="宋体" w:hAnsi="宋体"/>
                <w:b/>
                <w:color w:val="000000" w:themeColor="text1"/>
                <w:szCs w:val="21"/>
              </w:rPr>
              <w:t>指标项</w:t>
            </w:r>
          </w:p>
        </w:tc>
        <w:tc>
          <w:tcPr>
            <w:tcW w:w="6229" w:type="dxa"/>
            <w:shd w:val="clear" w:color="auto" w:fill="auto"/>
            <w:vAlign w:val="center"/>
          </w:tcPr>
          <w:p>
            <w:pPr>
              <w:ind w:firstLine="361"/>
              <w:jc w:val="center"/>
              <w:rPr>
                <w:rFonts w:ascii="宋体" w:hAnsi="宋体"/>
                <w:b/>
                <w:color w:val="000000" w:themeColor="text1"/>
                <w:szCs w:val="21"/>
              </w:rPr>
            </w:pPr>
            <w:r>
              <w:rPr>
                <w:rFonts w:hint="eastAsia" w:ascii="宋体" w:hAnsi="宋体"/>
                <w:b/>
                <w:color w:val="000000" w:themeColor="text1"/>
                <w:szCs w:val="21"/>
              </w:rPr>
              <w:t>指标技术</w:t>
            </w:r>
            <w:r>
              <w:rPr>
                <w:rFonts w:ascii="宋体" w:hAnsi="宋体"/>
                <w:b/>
                <w:color w:val="000000" w:themeColor="text1"/>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shd w:val="clear" w:color="auto" w:fill="auto"/>
            <w:vAlign w:val="center"/>
          </w:tcPr>
          <w:p>
            <w:pPr>
              <w:rPr>
                <w:rFonts w:ascii="宋体" w:hAnsi="宋体"/>
                <w:color w:val="000000" w:themeColor="text1"/>
                <w:szCs w:val="21"/>
              </w:rPr>
            </w:pPr>
            <w:r>
              <w:rPr>
                <w:rFonts w:hint="eastAsia" w:ascii="宋体" w:hAnsi="宋体"/>
                <w:color w:val="000000" w:themeColor="text1"/>
                <w:szCs w:val="21"/>
              </w:rPr>
              <w:t>安全可控U盘（外网版）</w:t>
            </w:r>
          </w:p>
        </w:tc>
        <w:tc>
          <w:tcPr>
            <w:tcW w:w="6229" w:type="dxa"/>
            <w:shd w:val="clear" w:color="auto" w:fill="auto"/>
            <w:vAlign w:val="center"/>
          </w:tcPr>
          <w:p>
            <w:pPr>
              <w:rPr>
                <w:rFonts w:ascii="宋体" w:hAnsi="宋体"/>
                <w:color w:val="000000" w:themeColor="text1"/>
                <w:szCs w:val="21"/>
              </w:rPr>
            </w:pPr>
            <w:r>
              <w:rPr>
                <w:rFonts w:hint="eastAsia" w:ascii="宋体" w:hAnsi="宋体"/>
                <w:color w:val="000000" w:themeColor="text1"/>
                <w:szCs w:val="21"/>
              </w:rPr>
              <w:t>配置120个专用安全U盘32G。防复制、防篡改、防病毒、防截屏录屏、防暴力破解、限时限次、文件隐藏等功能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shd w:val="clear" w:color="auto" w:fill="auto"/>
            <w:vAlign w:val="center"/>
          </w:tcPr>
          <w:p>
            <w:pPr>
              <w:rPr>
                <w:rFonts w:ascii="宋体" w:hAnsi="宋体"/>
                <w:color w:val="000000" w:themeColor="text1"/>
                <w:szCs w:val="21"/>
              </w:rPr>
            </w:pPr>
          </w:p>
        </w:tc>
        <w:tc>
          <w:tcPr>
            <w:tcW w:w="6229" w:type="dxa"/>
            <w:shd w:val="clear" w:color="auto" w:fill="auto"/>
            <w:vAlign w:val="center"/>
          </w:tcPr>
          <w:p>
            <w:pPr>
              <w:rPr>
                <w:rFonts w:ascii="宋体" w:hAnsi="宋体"/>
                <w:color w:val="000000" w:themeColor="text1"/>
                <w:szCs w:val="21"/>
              </w:rPr>
            </w:pPr>
            <w:r>
              <w:rPr>
                <w:rFonts w:hint="eastAsia" w:ascii="宋体" w:hAnsi="宋体"/>
                <w:color w:val="000000" w:themeColor="text1"/>
                <w:szCs w:val="21"/>
              </w:rPr>
              <w:t>硬件、固件、软件三者结合，实现全方位安全保障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shd w:val="clear" w:color="auto" w:fill="auto"/>
            <w:vAlign w:val="center"/>
          </w:tcPr>
          <w:p>
            <w:pPr>
              <w:rPr>
                <w:rFonts w:ascii="宋体" w:hAnsi="宋体"/>
                <w:color w:val="000000" w:themeColor="text1"/>
                <w:szCs w:val="21"/>
              </w:rPr>
            </w:pPr>
          </w:p>
        </w:tc>
        <w:tc>
          <w:tcPr>
            <w:tcW w:w="6229" w:type="dxa"/>
            <w:shd w:val="clear" w:color="auto" w:fill="auto"/>
            <w:vAlign w:val="center"/>
          </w:tcPr>
          <w:p>
            <w:pPr>
              <w:rPr>
                <w:rFonts w:ascii="宋体" w:hAnsi="宋体"/>
                <w:color w:val="000000" w:themeColor="text1"/>
                <w:szCs w:val="21"/>
              </w:rPr>
            </w:pPr>
            <w:r>
              <w:rPr>
                <w:rFonts w:hint="eastAsia" w:ascii="宋体" w:hAnsi="宋体"/>
                <w:color w:val="000000" w:themeColor="text1"/>
                <w:szCs w:val="21"/>
              </w:rPr>
              <w:t>加密文件系统自有高强度加密文件系统，支持大容量分区，支持大于</w:t>
            </w:r>
            <w:r>
              <w:rPr>
                <w:rFonts w:ascii="宋体" w:hAnsi="宋体"/>
                <w:color w:val="000000" w:themeColor="text1"/>
                <w:szCs w:val="21"/>
              </w:rPr>
              <w:t>4G的单个文件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shd w:val="clear" w:color="auto" w:fill="auto"/>
            <w:vAlign w:val="center"/>
          </w:tcPr>
          <w:p>
            <w:pPr>
              <w:rPr>
                <w:rFonts w:ascii="宋体" w:hAnsi="宋体"/>
                <w:color w:val="000000" w:themeColor="text1"/>
                <w:szCs w:val="21"/>
              </w:rPr>
            </w:pPr>
          </w:p>
        </w:tc>
        <w:tc>
          <w:tcPr>
            <w:tcW w:w="6229" w:type="dxa"/>
            <w:shd w:val="clear" w:color="auto" w:fill="auto"/>
            <w:vAlign w:val="center"/>
          </w:tcPr>
          <w:p>
            <w:pPr>
              <w:rPr>
                <w:rFonts w:ascii="宋体" w:hAnsi="宋体"/>
                <w:color w:val="000000" w:themeColor="text1"/>
                <w:szCs w:val="21"/>
              </w:rPr>
            </w:pPr>
            <w:r>
              <w:rPr>
                <w:rFonts w:hint="eastAsia" w:ascii="宋体" w:hAnsi="宋体"/>
                <w:color w:val="000000" w:themeColor="text1"/>
                <w:szCs w:val="21"/>
              </w:rPr>
              <w:t>防病毒传播私有加密文件系统，不提供通用的读写</w:t>
            </w:r>
            <w:r>
              <w:rPr>
                <w:rFonts w:ascii="宋体" w:hAnsi="宋体"/>
                <w:color w:val="000000" w:themeColor="text1"/>
                <w:szCs w:val="21"/>
              </w:rPr>
              <w:t>API。无论是否处于登录状态，非法进程都无法对盘进行读写。能自然避免病毒木马各种形式的自动复制执行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shd w:val="clear" w:color="auto" w:fill="auto"/>
            <w:vAlign w:val="center"/>
          </w:tcPr>
          <w:p>
            <w:pPr>
              <w:rPr>
                <w:rFonts w:ascii="宋体" w:hAnsi="宋体"/>
                <w:color w:val="000000" w:themeColor="text1"/>
                <w:szCs w:val="21"/>
              </w:rPr>
            </w:pPr>
          </w:p>
        </w:tc>
        <w:tc>
          <w:tcPr>
            <w:tcW w:w="6229" w:type="dxa"/>
            <w:shd w:val="clear" w:color="auto" w:fill="auto"/>
            <w:vAlign w:val="center"/>
          </w:tcPr>
          <w:p>
            <w:pPr>
              <w:rPr>
                <w:rFonts w:ascii="宋体" w:hAnsi="宋体"/>
                <w:color w:val="000000" w:themeColor="text1"/>
                <w:szCs w:val="21"/>
              </w:rPr>
            </w:pPr>
            <w:r>
              <w:rPr>
                <w:rFonts w:hint="eastAsia" w:ascii="宋体" w:hAnsi="宋体"/>
                <w:color w:val="000000" w:themeColor="text1"/>
                <w:szCs w:val="21"/>
              </w:rPr>
              <w:t>▲超限销毁;超出时间或次数限制的情况下，可以强制销毁盘内内容。内容销毁后，输入管理密码可以将盘恢复到出厂状态。提供界面截图证明加盖原厂商公章）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shd w:val="clear" w:color="auto" w:fill="auto"/>
            <w:vAlign w:val="center"/>
          </w:tcPr>
          <w:p>
            <w:pPr>
              <w:rPr>
                <w:rFonts w:ascii="宋体" w:hAnsi="宋体"/>
                <w:color w:val="000000" w:themeColor="text1"/>
                <w:szCs w:val="21"/>
              </w:rPr>
            </w:pPr>
          </w:p>
        </w:tc>
        <w:tc>
          <w:tcPr>
            <w:tcW w:w="6229" w:type="dxa"/>
            <w:shd w:val="clear" w:color="auto" w:fill="auto"/>
            <w:vAlign w:val="center"/>
          </w:tcPr>
          <w:p>
            <w:pPr>
              <w:rPr>
                <w:rFonts w:ascii="宋体" w:hAnsi="宋体"/>
                <w:color w:val="000000" w:themeColor="text1"/>
                <w:szCs w:val="21"/>
              </w:rPr>
            </w:pPr>
            <w:r>
              <w:rPr>
                <w:rFonts w:hint="eastAsia" w:ascii="宋体" w:hAnsi="宋体"/>
                <w:color w:val="000000" w:themeColor="text1"/>
                <w:szCs w:val="21"/>
              </w:rPr>
              <w:t>提供移动存储介质审计功能，审计记录缓存于U盘闪存中。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shd w:val="clear" w:color="auto" w:fill="auto"/>
            <w:vAlign w:val="center"/>
          </w:tcPr>
          <w:p>
            <w:pPr>
              <w:rPr>
                <w:rFonts w:ascii="宋体" w:hAnsi="宋体"/>
                <w:color w:val="000000" w:themeColor="text1"/>
                <w:szCs w:val="21"/>
              </w:rPr>
            </w:pPr>
          </w:p>
        </w:tc>
        <w:tc>
          <w:tcPr>
            <w:tcW w:w="6229" w:type="dxa"/>
            <w:shd w:val="clear" w:color="auto" w:fill="auto"/>
            <w:vAlign w:val="center"/>
          </w:tcPr>
          <w:p>
            <w:pPr>
              <w:rPr>
                <w:rFonts w:ascii="宋体" w:hAnsi="宋体"/>
                <w:color w:val="000000" w:themeColor="text1"/>
                <w:szCs w:val="21"/>
              </w:rPr>
            </w:pPr>
            <w:r>
              <w:rPr>
                <w:rFonts w:hint="eastAsia" w:ascii="宋体" w:hAnsi="宋体"/>
                <w:color w:val="000000" w:themeColor="text1"/>
                <w:szCs w:val="21"/>
              </w:rPr>
              <w:t>▲防暴力破解密码、密码保护重试10次后，全盘强制自动销毁。（提供界面截图证明加盖原厂商公章）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shd w:val="clear" w:color="auto" w:fill="auto"/>
            <w:vAlign w:val="center"/>
          </w:tcPr>
          <w:p>
            <w:pPr>
              <w:rPr>
                <w:rFonts w:ascii="宋体" w:hAnsi="宋体"/>
                <w:color w:val="000000" w:themeColor="text1"/>
                <w:szCs w:val="21"/>
              </w:rPr>
            </w:pPr>
          </w:p>
        </w:tc>
        <w:tc>
          <w:tcPr>
            <w:tcW w:w="6229" w:type="dxa"/>
            <w:shd w:val="clear" w:color="auto" w:fill="auto"/>
            <w:vAlign w:val="center"/>
          </w:tcPr>
          <w:p>
            <w:pPr>
              <w:rPr>
                <w:rFonts w:ascii="宋体" w:hAnsi="宋体"/>
                <w:color w:val="000000" w:themeColor="text1"/>
                <w:szCs w:val="21"/>
              </w:rPr>
            </w:pPr>
            <w:r>
              <w:rPr>
                <w:rFonts w:hint="eastAsia" w:ascii="宋体" w:hAnsi="宋体"/>
                <w:color w:val="000000" w:themeColor="text1"/>
                <w:szCs w:val="21"/>
              </w:rPr>
              <w:t>双密码模式具管理和访客两个模式，能够采用不同密码登录。登录界面无需输入用户类型。访客密码为空时，可自动登录访客模式。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shd w:val="clear" w:color="auto" w:fill="auto"/>
            <w:vAlign w:val="center"/>
          </w:tcPr>
          <w:p>
            <w:pPr>
              <w:rPr>
                <w:rFonts w:ascii="宋体" w:hAnsi="宋体"/>
                <w:color w:val="000000" w:themeColor="text1"/>
                <w:szCs w:val="21"/>
              </w:rPr>
            </w:pPr>
          </w:p>
        </w:tc>
        <w:tc>
          <w:tcPr>
            <w:tcW w:w="6229" w:type="dxa"/>
            <w:shd w:val="clear" w:color="auto" w:fill="auto"/>
            <w:vAlign w:val="center"/>
          </w:tcPr>
          <w:p>
            <w:pPr>
              <w:rPr>
                <w:rFonts w:ascii="宋体" w:hAnsi="宋体"/>
                <w:color w:val="000000" w:themeColor="text1"/>
                <w:szCs w:val="21"/>
              </w:rPr>
            </w:pPr>
            <w:r>
              <w:rPr>
                <w:rFonts w:hint="eastAsia" w:ascii="宋体" w:hAnsi="宋体"/>
                <w:color w:val="000000" w:themeColor="text1"/>
                <w:szCs w:val="21"/>
              </w:rPr>
              <w:t>▲电脑数量限制；识别电脑硬件信息，将盘绑定到指定数量的电脑，非绑定电脑上，访客禁止使用。（提供界面截图证明加盖原厂商公章）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shd w:val="clear" w:color="auto" w:fill="auto"/>
            <w:vAlign w:val="center"/>
          </w:tcPr>
          <w:p>
            <w:pPr>
              <w:rPr>
                <w:rFonts w:ascii="宋体" w:hAnsi="宋体"/>
                <w:color w:val="000000" w:themeColor="text1"/>
                <w:szCs w:val="21"/>
              </w:rPr>
            </w:pPr>
          </w:p>
        </w:tc>
        <w:tc>
          <w:tcPr>
            <w:tcW w:w="6229" w:type="dxa"/>
            <w:shd w:val="clear" w:color="auto" w:fill="auto"/>
            <w:vAlign w:val="center"/>
          </w:tcPr>
          <w:p>
            <w:pPr>
              <w:rPr>
                <w:rFonts w:ascii="宋体" w:hAnsi="宋体"/>
                <w:color w:val="000000" w:themeColor="text1"/>
                <w:szCs w:val="21"/>
              </w:rPr>
            </w:pPr>
            <w:r>
              <w:rPr>
                <w:rFonts w:hint="eastAsia" w:ascii="宋体" w:hAnsi="宋体"/>
                <w:color w:val="000000" w:themeColor="text1"/>
                <w:szCs w:val="21"/>
              </w:rPr>
              <w:t>▲U盘管理系统提供S</w:t>
            </w:r>
            <w:r>
              <w:rPr>
                <w:rFonts w:ascii="宋体" w:hAnsi="宋体"/>
                <w:color w:val="000000" w:themeColor="text1"/>
                <w:szCs w:val="21"/>
              </w:rPr>
              <w:t>yslog</w:t>
            </w:r>
            <w:r>
              <w:rPr>
                <w:rFonts w:hint="eastAsia" w:ascii="宋体" w:hAnsi="宋体"/>
                <w:color w:val="000000" w:themeColor="text1"/>
                <w:szCs w:val="21"/>
              </w:rPr>
              <w:t>接收服务器地址配置，可自定义I</w:t>
            </w:r>
            <w:r>
              <w:rPr>
                <w:rFonts w:ascii="宋体" w:hAnsi="宋体"/>
                <w:color w:val="000000" w:themeColor="text1"/>
                <w:szCs w:val="21"/>
              </w:rPr>
              <w:t>P</w:t>
            </w:r>
            <w:r>
              <w:rPr>
                <w:rFonts w:hint="eastAsia" w:ascii="宋体" w:hAnsi="宋体"/>
                <w:color w:val="000000" w:themeColor="text1"/>
                <w:szCs w:val="21"/>
              </w:rPr>
              <w:t>地址和端口。（提供界面截图证明加盖原厂商公章）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shd w:val="clear" w:color="auto" w:fill="auto"/>
            <w:vAlign w:val="center"/>
          </w:tcPr>
          <w:p>
            <w:pPr>
              <w:rPr>
                <w:rFonts w:ascii="宋体" w:hAnsi="宋体"/>
                <w:color w:val="000000" w:themeColor="text1"/>
                <w:szCs w:val="21"/>
              </w:rPr>
            </w:pPr>
            <w:r>
              <w:rPr>
                <w:rFonts w:hint="eastAsia" w:ascii="宋体" w:hAnsi="宋体"/>
                <w:color w:val="000000" w:themeColor="text1"/>
                <w:szCs w:val="21"/>
              </w:rPr>
              <w:t>安全可控U盘（内网版）</w:t>
            </w:r>
          </w:p>
        </w:tc>
        <w:tc>
          <w:tcPr>
            <w:tcW w:w="6229" w:type="dxa"/>
            <w:shd w:val="clear" w:color="auto" w:fill="auto"/>
            <w:vAlign w:val="center"/>
          </w:tcPr>
          <w:p>
            <w:pPr>
              <w:rPr>
                <w:rFonts w:ascii="宋体" w:hAnsi="宋体"/>
                <w:color w:val="000000" w:themeColor="text1"/>
                <w:szCs w:val="21"/>
              </w:rPr>
            </w:pPr>
            <w:r>
              <w:rPr>
                <w:rFonts w:hint="eastAsia" w:ascii="宋体" w:hAnsi="宋体"/>
                <w:color w:val="000000" w:themeColor="text1"/>
                <w:szCs w:val="21"/>
              </w:rPr>
              <w:t>配置120个专用安全</w:t>
            </w:r>
            <w:r>
              <w:rPr>
                <w:rFonts w:ascii="宋体" w:hAnsi="宋体"/>
                <w:color w:val="000000" w:themeColor="text1"/>
                <w:szCs w:val="21"/>
              </w:rPr>
              <w:t>U盘32G。登陆认证、强制标记认证、安全审计、日志上次数据中心、支持Linux、Windows跨平台使用</w:t>
            </w:r>
            <w:r>
              <w:rPr>
                <w:rFonts w:hint="eastAsia" w:ascii="宋体" w:hAnsi="宋体"/>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shd w:val="clear" w:color="auto" w:fill="auto"/>
            <w:vAlign w:val="center"/>
          </w:tcPr>
          <w:p>
            <w:pPr>
              <w:rPr>
                <w:rFonts w:ascii="宋体" w:hAnsi="宋体"/>
                <w:color w:val="000000" w:themeColor="text1"/>
                <w:szCs w:val="21"/>
              </w:rPr>
            </w:pPr>
          </w:p>
        </w:tc>
        <w:tc>
          <w:tcPr>
            <w:tcW w:w="6229" w:type="dxa"/>
            <w:shd w:val="clear" w:color="auto" w:fill="auto"/>
            <w:vAlign w:val="center"/>
          </w:tcPr>
          <w:p>
            <w:pPr>
              <w:rPr>
                <w:rFonts w:ascii="宋体" w:hAnsi="宋体"/>
                <w:color w:val="000000" w:themeColor="text1"/>
                <w:szCs w:val="21"/>
              </w:rPr>
            </w:pPr>
            <w:r>
              <w:rPr>
                <w:rFonts w:hint="eastAsia" w:ascii="宋体" w:hAnsi="宋体"/>
                <w:color w:val="000000" w:themeColor="text1"/>
                <w:szCs w:val="21"/>
              </w:rPr>
              <w:t>加密文件系统自有高强度加密文件系统，支持大容量分区，支持大于</w:t>
            </w:r>
            <w:r>
              <w:rPr>
                <w:rFonts w:ascii="宋体" w:hAnsi="宋体"/>
                <w:color w:val="000000" w:themeColor="text1"/>
                <w:szCs w:val="21"/>
              </w:rPr>
              <w:t>4G的单个文件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shd w:val="clear" w:color="auto" w:fill="auto"/>
            <w:vAlign w:val="center"/>
          </w:tcPr>
          <w:p>
            <w:pPr>
              <w:rPr>
                <w:rFonts w:ascii="宋体" w:hAnsi="宋体"/>
                <w:color w:val="000000" w:themeColor="text1"/>
                <w:szCs w:val="21"/>
              </w:rPr>
            </w:pPr>
          </w:p>
        </w:tc>
        <w:tc>
          <w:tcPr>
            <w:tcW w:w="6229" w:type="dxa"/>
            <w:shd w:val="clear" w:color="auto" w:fill="auto"/>
            <w:vAlign w:val="center"/>
          </w:tcPr>
          <w:p>
            <w:pPr>
              <w:rPr>
                <w:rFonts w:ascii="宋体" w:hAnsi="宋体"/>
                <w:color w:val="000000" w:themeColor="text1"/>
                <w:szCs w:val="21"/>
              </w:rPr>
            </w:pPr>
            <w:r>
              <w:rPr>
                <w:rFonts w:hint="eastAsia" w:ascii="宋体" w:hAnsi="宋体"/>
                <w:color w:val="000000" w:themeColor="text1"/>
                <w:szCs w:val="21"/>
              </w:rPr>
              <w:t>防病毒传播私有加密文件系统，不提供通用的读写</w:t>
            </w:r>
            <w:r>
              <w:rPr>
                <w:rFonts w:ascii="宋体" w:hAnsi="宋体"/>
                <w:color w:val="000000" w:themeColor="text1"/>
                <w:szCs w:val="21"/>
              </w:rPr>
              <w:t>API。无论是否处于登录状态，非法进程都无法对盘进行读写。能自然避免病毒木马各种形式的自动复制执行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shd w:val="clear" w:color="auto" w:fill="auto"/>
            <w:vAlign w:val="center"/>
          </w:tcPr>
          <w:p>
            <w:pPr>
              <w:rPr>
                <w:rFonts w:ascii="宋体" w:hAnsi="宋体"/>
                <w:color w:val="000000" w:themeColor="text1"/>
                <w:szCs w:val="21"/>
              </w:rPr>
            </w:pPr>
          </w:p>
        </w:tc>
        <w:tc>
          <w:tcPr>
            <w:tcW w:w="6229" w:type="dxa"/>
            <w:shd w:val="clear" w:color="auto" w:fill="auto"/>
            <w:vAlign w:val="center"/>
          </w:tcPr>
          <w:p>
            <w:pPr>
              <w:rPr>
                <w:rFonts w:ascii="宋体" w:hAnsi="宋体"/>
                <w:color w:val="000000" w:themeColor="text1"/>
                <w:szCs w:val="21"/>
              </w:rPr>
            </w:pPr>
            <w:r>
              <w:rPr>
                <w:rFonts w:hint="eastAsia" w:ascii="宋体" w:hAnsi="宋体"/>
                <w:color w:val="000000" w:themeColor="text1"/>
                <w:szCs w:val="21"/>
              </w:rPr>
              <w:t>▲超限销毁;超出时间或次数限制的情况下，可以强制销毁盘内内容。内容销毁后，输入管理密码可以将盘恢复到出厂状态。提供界面截图证明加盖原厂商公章）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shd w:val="clear" w:color="auto" w:fill="auto"/>
            <w:vAlign w:val="center"/>
          </w:tcPr>
          <w:p>
            <w:pPr>
              <w:rPr>
                <w:rFonts w:ascii="宋体" w:hAnsi="宋体"/>
                <w:color w:val="000000" w:themeColor="text1"/>
                <w:szCs w:val="21"/>
              </w:rPr>
            </w:pPr>
          </w:p>
        </w:tc>
        <w:tc>
          <w:tcPr>
            <w:tcW w:w="6229" w:type="dxa"/>
            <w:shd w:val="clear" w:color="auto" w:fill="auto"/>
            <w:vAlign w:val="center"/>
          </w:tcPr>
          <w:p>
            <w:pPr>
              <w:rPr>
                <w:rFonts w:ascii="宋体" w:hAnsi="宋体"/>
                <w:color w:val="000000" w:themeColor="text1"/>
                <w:szCs w:val="21"/>
              </w:rPr>
            </w:pPr>
            <w:r>
              <w:rPr>
                <w:rFonts w:hint="eastAsia" w:ascii="宋体" w:hAnsi="宋体"/>
                <w:color w:val="000000" w:themeColor="text1"/>
                <w:szCs w:val="21"/>
              </w:rPr>
              <w:t>提供移动存储介质审计功能，审计记录缓存于U盘闪存中。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shd w:val="clear" w:color="auto" w:fill="auto"/>
            <w:vAlign w:val="center"/>
          </w:tcPr>
          <w:p>
            <w:pPr>
              <w:rPr>
                <w:rFonts w:ascii="宋体" w:hAnsi="宋体"/>
                <w:color w:val="000000" w:themeColor="text1"/>
                <w:szCs w:val="21"/>
              </w:rPr>
            </w:pPr>
          </w:p>
        </w:tc>
        <w:tc>
          <w:tcPr>
            <w:tcW w:w="6229" w:type="dxa"/>
            <w:shd w:val="clear" w:color="auto" w:fill="auto"/>
            <w:vAlign w:val="center"/>
          </w:tcPr>
          <w:p>
            <w:pPr>
              <w:rPr>
                <w:rFonts w:ascii="宋体" w:hAnsi="宋体"/>
                <w:color w:val="000000" w:themeColor="text1"/>
                <w:szCs w:val="21"/>
              </w:rPr>
            </w:pPr>
            <w:r>
              <w:rPr>
                <w:rFonts w:hint="eastAsia" w:ascii="宋体" w:hAnsi="宋体"/>
                <w:color w:val="000000" w:themeColor="text1"/>
                <w:szCs w:val="21"/>
              </w:rPr>
              <w:t>▲防暴力破解密码、密码保护重试10次后，全盘强制自动销毁。（提供界面截图证明加盖原厂商公章）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shd w:val="clear" w:color="auto" w:fill="auto"/>
            <w:vAlign w:val="center"/>
          </w:tcPr>
          <w:p>
            <w:pPr>
              <w:rPr>
                <w:rFonts w:ascii="宋体" w:hAnsi="宋体"/>
                <w:color w:val="000000" w:themeColor="text1"/>
                <w:szCs w:val="21"/>
              </w:rPr>
            </w:pPr>
          </w:p>
        </w:tc>
        <w:tc>
          <w:tcPr>
            <w:tcW w:w="6229" w:type="dxa"/>
            <w:shd w:val="clear" w:color="auto" w:fill="auto"/>
            <w:vAlign w:val="center"/>
          </w:tcPr>
          <w:p>
            <w:pPr>
              <w:rPr>
                <w:rFonts w:ascii="宋体" w:hAnsi="宋体"/>
                <w:color w:val="000000" w:themeColor="text1"/>
                <w:szCs w:val="21"/>
              </w:rPr>
            </w:pPr>
            <w:r>
              <w:rPr>
                <w:rFonts w:hint="eastAsia" w:ascii="宋体" w:hAnsi="宋体"/>
                <w:color w:val="000000" w:themeColor="text1"/>
                <w:szCs w:val="21"/>
              </w:rPr>
              <w:t>双密码模式具管理和访客两个模式，能够采用不同密码登录。登录界面无需输入用户类型。访客密码为空时，可自动登录访客模式。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shd w:val="clear" w:color="auto" w:fill="auto"/>
            <w:vAlign w:val="center"/>
          </w:tcPr>
          <w:p>
            <w:pPr>
              <w:rPr>
                <w:rFonts w:ascii="宋体" w:hAnsi="宋体"/>
                <w:color w:val="000000" w:themeColor="text1"/>
                <w:szCs w:val="21"/>
              </w:rPr>
            </w:pPr>
          </w:p>
        </w:tc>
        <w:tc>
          <w:tcPr>
            <w:tcW w:w="6229" w:type="dxa"/>
            <w:shd w:val="clear" w:color="auto" w:fill="auto"/>
            <w:vAlign w:val="center"/>
          </w:tcPr>
          <w:p>
            <w:pPr>
              <w:rPr>
                <w:rFonts w:ascii="宋体" w:hAnsi="宋体"/>
                <w:color w:val="000000" w:themeColor="text1"/>
                <w:szCs w:val="21"/>
              </w:rPr>
            </w:pPr>
            <w:r>
              <w:rPr>
                <w:rFonts w:hint="eastAsia" w:ascii="宋体" w:hAnsi="宋体"/>
                <w:color w:val="000000" w:themeColor="text1"/>
                <w:szCs w:val="21"/>
              </w:rPr>
              <w:t>▲电脑数量限制；识别电脑硬件信息，将盘绑定到指定数量的电脑，非绑定电脑上，访客禁止使用。（提供界面截图证明加盖原厂商公章）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shd w:val="clear" w:color="auto" w:fill="auto"/>
            <w:vAlign w:val="center"/>
          </w:tcPr>
          <w:p>
            <w:pPr>
              <w:rPr>
                <w:rFonts w:ascii="宋体" w:hAnsi="宋体"/>
                <w:color w:val="000000" w:themeColor="text1"/>
                <w:szCs w:val="21"/>
              </w:rPr>
            </w:pPr>
          </w:p>
        </w:tc>
        <w:tc>
          <w:tcPr>
            <w:tcW w:w="6229" w:type="dxa"/>
            <w:shd w:val="clear" w:color="auto" w:fill="auto"/>
            <w:vAlign w:val="center"/>
          </w:tcPr>
          <w:p>
            <w:pPr>
              <w:rPr>
                <w:rFonts w:ascii="宋体" w:hAnsi="宋体"/>
                <w:color w:val="000000" w:themeColor="text1"/>
                <w:szCs w:val="21"/>
              </w:rPr>
            </w:pPr>
            <w:r>
              <w:rPr>
                <w:rFonts w:hint="eastAsia" w:ascii="宋体" w:hAnsi="宋体"/>
                <w:color w:val="000000" w:themeColor="text1"/>
                <w:szCs w:val="21"/>
              </w:rPr>
              <w:t>▲U盘管理系统提供S</w:t>
            </w:r>
            <w:r>
              <w:rPr>
                <w:rFonts w:ascii="宋体" w:hAnsi="宋体"/>
                <w:color w:val="000000" w:themeColor="text1"/>
                <w:szCs w:val="21"/>
              </w:rPr>
              <w:t>yslog</w:t>
            </w:r>
            <w:r>
              <w:rPr>
                <w:rFonts w:hint="eastAsia" w:ascii="宋体" w:hAnsi="宋体"/>
                <w:color w:val="000000" w:themeColor="text1"/>
                <w:szCs w:val="21"/>
              </w:rPr>
              <w:t>接收服务器地址配置，可自定义I</w:t>
            </w:r>
            <w:r>
              <w:rPr>
                <w:rFonts w:ascii="宋体" w:hAnsi="宋体"/>
                <w:color w:val="000000" w:themeColor="text1"/>
                <w:szCs w:val="21"/>
              </w:rPr>
              <w:t>P</w:t>
            </w:r>
            <w:r>
              <w:rPr>
                <w:rFonts w:hint="eastAsia" w:ascii="宋体" w:hAnsi="宋体"/>
                <w:color w:val="000000" w:themeColor="text1"/>
                <w:szCs w:val="21"/>
              </w:rPr>
              <w:t>地址和端口。（提供界面截图证明加盖原厂商公章）</w:t>
            </w:r>
          </w:p>
        </w:tc>
      </w:tr>
    </w:tbl>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pStyle w:val="13"/>
        <w:tabs>
          <w:tab w:val="left" w:pos="426"/>
        </w:tabs>
        <w:autoSpaceDE w:val="0"/>
        <w:autoSpaceDN w:val="0"/>
        <w:adjustRightInd w:val="0"/>
        <w:spacing w:line="360" w:lineRule="auto"/>
        <w:ind w:firstLine="0" w:firstLineChars="0"/>
        <w:rPr>
          <w:rFonts w:ascii="宋体" w:hAnsi="宋体"/>
          <w:color w:val="000000" w:themeColor="text1"/>
        </w:rPr>
      </w:pPr>
    </w:p>
    <w:p>
      <w:pPr>
        <w:widowControl/>
        <w:tabs>
          <w:tab w:val="left" w:pos="735"/>
          <w:tab w:val="left" w:pos="1680"/>
        </w:tabs>
        <w:adjustRightInd w:val="0"/>
        <w:snapToGrid w:val="0"/>
        <w:spacing w:line="400" w:lineRule="exact"/>
        <w:ind w:left="420" w:right="-107"/>
        <w:rPr>
          <w:rFonts w:ascii="宋体" w:hAnsi="宋体"/>
          <w:color w:val="000000"/>
          <w:szCs w:val="21"/>
        </w:rPr>
      </w:pPr>
    </w:p>
    <w:p>
      <w:pPr>
        <w:widowControl/>
        <w:tabs>
          <w:tab w:val="left" w:pos="900"/>
        </w:tabs>
        <w:spacing w:line="360" w:lineRule="auto"/>
        <w:ind w:left="540"/>
        <w:rPr>
          <w:rFonts w:ascii="宋体" w:hAnsi="宋体" w:cs="宋体"/>
          <w:szCs w:val="21"/>
        </w:rPr>
      </w:pPr>
    </w:p>
    <w:p>
      <w:pPr>
        <w:pStyle w:val="5"/>
        <w:widowControl/>
        <w:adjustRightInd w:val="0"/>
        <w:snapToGrid w:val="0"/>
        <w:spacing w:line="360" w:lineRule="auto"/>
        <w:jc w:val="left"/>
        <w:rPr>
          <w:rFonts w:hAnsi="宋体" w:cs="宋体"/>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A3FC3"/>
    <w:multiLevelType w:val="multilevel"/>
    <w:tmpl w:val="24AA3FC3"/>
    <w:lvl w:ilvl="0" w:tentative="0">
      <w:start w:val="6"/>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8A577DF"/>
    <w:multiLevelType w:val="multilevel"/>
    <w:tmpl w:val="28A577DF"/>
    <w:lvl w:ilvl="0" w:tentative="0">
      <w:start w:val="2"/>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639D201"/>
    <w:multiLevelType w:val="singleLevel"/>
    <w:tmpl w:val="5639D201"/>
    <w:lvl w:ilvl="0" w:tentative="0">
      <w:start w:val="1"/>
      <w:numFmt w:val="decimal"/>
      <w:suff w:val="nothing"/>
      <w:lvlText w:val="%1．"/>
      <w:lvlJc w:val="left"/>
      <w:pPr>
        <w:ind w:left="451" w:firstLine="400"/>
      </w:pPr>
      <w:rPr>
        <w:rFonts w:hint="default"/>
      </w:rPr>
    </w:lvl>
  </w:abstractNum>
  <w:abstractNum w:abstractNumId="3">
    <w:nsid w:val="5885A748"/>
    <w:multiLevelType w:val="multilevel"/>
    <w:tmpl w:val="5885A748"/>
    <w:lvl w:ilvl="0" w:tentative="0">
      <w:start w:val="1"/>
      <w:numFmt w:val="decimal"/>
      <w:lvlText w:val="%1."/>
      <w:lvlJc w:val="left"/>
      <w:pPr>
        <w:tabs>
          <w:tab w:val="left" w:pos="900"/>
        </w:tabs>
        <w:ind w:left="900" w:hanging="420"/>
      </w:pPr>
      <w:rPr>
        <w:rFonts w:hint="default"/>
        <w:color w:val="auto"/>
      </w:rPr>
    </w:lvl>
    <w:lvl w:ilvl="1" w:tentative="0">
      <w:start w:val="1"/>
      <w:numFmt w:val="decimal"/>
      <w:isLgl/>
      <w:lvlText w:val="%1.%2"/>
      <w:lvlJc w:val="left"/>
      <w:pPr>
        <w:tabs>
          <w:tab w:val="left" w:pos="840"/>
        </w:tabs>
        <w:ind w:left="840" w:hanging="360"/>
      </w:pPr>
      <w:rPr>
        <w:rFonts w:hint="eastAsia"/>
      </w:rPr>
    </w:lvl>
    <w:lvl w:ilvl="2" w:tentative="0">
      <w:start w:val="1"/>
      <w:numFmt w:val="decimal"/>
      <w:isLgl/>
      <w:lvlText w:val="%1.%2.%3"/>
      <w:lvlJc w:val="left"/>
      <w:pPr>
        <w:tabs>
          <w:tab w:val="left" w:pos="1200"/>
        </w:tabs>
        <w:ind w:left="1200" w:hanging="720"/>
      </w:pPr>
      <w:rPr>
        <w:rFonts w:hint="eastAsia"/>
      </w:rPr>
    </w:lvl>
    <w:lvl w:ilvl="3" w:tentative="0">
      <w:start w:val="1"/>
      <w:numFmt w:val="decimal"/>
      <w:isLgl/>
      <w:lvlText w:val="%1.%2.%3.%4"/>
      <w:lvlJc w:val="left"/>
      <w:pPr>
        <w:tabs>
          <w:tab w:val="left" w:pos="1560"/>
        </w:tabs>
        <w:ind w:left="1560" w:hanging="1080"/>
      </w:pPr>
      <w:rPr>
        <w:rFonts w:hint="eastAsia"/>
      </w:rPr>
    </w:lvl>
    <w:lvl w:ilvl="4" w:tentative="0">
      <w:start w:val="1"/>
      <w:numFmt w:val="decimal"/>
      <w:isLgl/>
      <w:lvlText w:val="%1.%2.%3.%4.%5"/>
      <w:lvlJc w:val="left"/>
      <w:pPr>
        <w:tabs>
          <w:tab w:val="left" w:pos="1560"/>
        </w:tabs>
        <w:ind w:left="1560" w:hanging="1080"/>
      </w:pPr>
      <w:rPr>
        <w:rFonts w:hint="eastAsia"/>
      </w:rPr>
    </w:lvl>
    <w:lvl w:ilvl="5" w:tentative="0">
      <w:start w:val="1"/>
      <w:numFmt w:val="decimal"/>
      <w:isLgl/>
      <w:lvlText w:val="%1.%2.%3.%4.%5.%6"/>
      <w:lvlJc w:val="left"/>
      <w:pPr>
        <w:tabs>
          <w:tab w:val="left" w:pos="1920"/>
        </w:tabs>
        <w:ind w:left="1920" w:hanging="1440"/>
      </w:pPr>
      <w:rPr>
        <w:rFonts w:hint="eastAsia"/>
      </w:rPr>
    </w:lvl>
    <w:lvl w:ilvl="6" w:tentative="0">
      <w:start w:val="1"/>
      <w:numFmt w:val="decimal"/>
      <w:isLgl/>
      <w:lvlText w:val="%1.%2.%3.%4.%5.%6.%7"/>
      <w:lvlJc w:val="left"/>
      <w:pPr>
        <w:tabs>
          <w:tab w:val="left" w:pos="2280"/>
        </w:tabs>
        <w:ind w:left="2280" w:hanging="1800"/>
      </w:pPr>
      <w:rPr>
        <w:rFonts w:hint="eastAsia"/>
      </w:rPr>
    </w:lvl>
    <w:lvl w:ilvl="7" w:tentative="0">
      <w:start w:val="1"/>
      <w:numFmt w:val="decimal"/>
      <w:isLgl/>
      <w:lvlText w:val="%1.%2.%3.%4.%5.%6.%7.%8"/>
      <w:lvlJc w:val="left"/>
      <w:pPr>
        <w:tabs>
          <w:tab w:val="left" w:pos="2280"/>
        </w:tabs>
        <w:ind w:left="2280" w:hanging="1800"/>
      </w:pPr>
      <w:rPr>
        <w:rFonts w:hint="eastAsia"/>
      </w:rPr>
    </w:lvl>
    <w:lvl w:ilvl="8" w:tentative="0">
      <w:start w:val="1"/>
      <w:numFmt w:val="decimal"/>
      <w:isLgl/>
      <w:lvlText w:val="%1.%2.%3.%4.%5.%6.%7.%8.%9"/>
      <w:lvlJc w:val="left"/>
      <w:pPr>
        <w:tabs>
          <w:tab w:val="left" w:pos="2640"/>
        </w:tabs>
        <w:ind w:left="2640" w:hanging="2160"/>
      </w:pPr>
      <w:rPr>
        <w:rFonts w:hint="eastAsia"/>
      </w:rPr>
    </w:lvl>
  </w:abstractNum>
  <w:abstractNum w:abstractNumId="4">
    <w:nsid w:val="5885A8D2"/>
    <w:multiLevelType w:val="multilevel"/>
    <w:tmpl w:val="5885A8D2"/>
    <w:lvl w:ilvl="0" w:tentative="0">
      <w:start w:val="1"/>
      <w:numFmt w:val="decimal"/>
      <w:lvlText w:val="%1."/>
      <w:lvlJc w:val="left"/>
      <w:pPr>
        <w:tabs>
          <w:tab w:val="left" w:pos="900"/>
        </w:tabs>
        <w:ind w:left="900" w:hanging="420"/>
      </w:pPr>
      <w:rPr>
        <w:rFonts w:hint="default"/>
        <w:color w:val="auto"/>
      </w:rPr>
    </w:lvl>
    <w:lvl w:ilvl="1" w:tentative="0">
      <w:start w:val="1"/>
      <w:numFmt w:val="decimal"/>
      <w:isLgl/>
      <w:lvlText w:val="%1.%2"/>
      <w:lvlJc w:val="left"/>
      <w:pPr>
        <w:tabs>
          <w:tab w:val="left" w:pos="840"/>
        </w:tabs>
        <w:ind w:left="840" w:hanging="360"/>
      </w:pPr>
      <w:rPr>
        <w:rFonts w:hint="eastAsia"/>
      </w:rPr>
    </w:lvl>
    <w:lvl w:ilvl="2" w:tentative="0">
      <w:start w:val="1"/>
      <w:numFmt w:val="decimal"/>
      <w:isLgl/>
      <w:lvlText w:val="%1.%2.%3"/>
      <w:lvlJc w:val="left"/>
      <w:pPr>
        <w:tabs>
          <w:tab w:val="left" w:pos="1200"/>
        </w:tabs>
        <w:ind w:left="1200" w:hanging="720"/>
      </w:pPr>
      <w:rPr>
        <w:rFonts w:hint="eastAsia"/>
      </w:rPr>
    </w:lvl>
    <w:lvl w:ilvl="3" w:tentative="0">
      <w:start w:val="1"/>
      <w:numFmt w:val="decimal"/>
      <w:isLgl/>
      <w:lvlText w:val="%1.%2.%3.%4"/>
      <w:lvlJc w:val="left"/>
      <w:pPr>
        <w:tabs>
          <w:tab w:val="left" w:pos="1560"/>
        </w:tabs>
        <w:ind w:left="1560" w:hanging="1080"/>
      </w:pPr>
      <w:rPr>
        <w:rFonts w:hint="eastAsia"/>
      </w:rPr>
    </w:lvl>
    <w:lvl w:ilvl="4" w:tentative="0">
      <w:start w:val="1"/>
      <w:numFmt w:val="decimal"/>
      <w:isLgl/>
      <w:lvlText w:val="%1.%2.%3.%4.%5"/>
      <w:lvlJc w:val="left"/>
      <w:pPr>
        <w:tabs>
          <w:tab w:val="left" w:pos="1560"/>
        </w:tabs>
        <w:ind w:left="1560" w:hanging="1080"/>
      </w:pPr>
      <w:rPr>
        <w:rFonts w:hint="eastAsia"/>
      </w:rPr>
    </w:lvl>
    <w:lvl w:ilvl="5" w:tentative="0">
      <w:start w:val="1"/>
      <w:numFmt w:val="decimal"/>
      <w:isLgl/>
      <w:lvlText w:val="%1.%2.%3.%4.%5.%6"/>
      <w:lvlJc w:val="left"/>
      <w:pPr>
        <w:tabs>
          <w:tab w:val="left" w:pos="1920"/>
        </w:tabs>
        <w:ind w:left="1920" w:hanging="1440"/>
      </w:pPr>
      <w:rPr>
        <w:rFonts w:hint="eastAsia"/>
      </w:rPr>
    </w:lvl>
    <w:lvl w:ilvl="6" w:tentative="0">
      <w:start w:val="1"/>
      <w:numFmt w:val="decimal"/>
      <w:isLgl/>
      <w:lvlText w:val="%1.%2.%3.%4.%5.%6.%7"/>
      <w:lvlJc w:val="left"/>
      <w:pPr>
        <w:tabs>
          <w:tab w:val="left" w:pos="2280"/>
        </w:tabs>
        <w:ind w:left="2280" w:hanging="1800"/>
      </w:pPr>
      <w:rPr>
        <w:rFonts w:hint="eastAsia"/>
      </w:rPr>
    </w:lvl>
    <w:lvl w:ilvl="7" w:tentative="0">
      <w:start w:val="1"/>
      <w:numFmt w:val="decimal"/>
      <w:isLgl/>
      <w:lvlText w:val="%1.%2.%3.%4.%5.%6.%7.%8"/>
      <w:lvlJc w:val="left"/>
      <w:pPr>
        <w:tabs>
          <w:tab w:val="left" w:pos="2280"/>
        </w:tabs>
        <w:ind w:left="2280" w:hanging="1800"/>
      </w:pPr>
      <w:rPr>
        <w:rFonts w:hint="eastAsia"/>
      </w:rPr>
    </w:lvl>
    <w:lvl w:ilvl="8" w:tentative="0">
      <w:start w:val="1"/>
      <w:numFmt w:val="decimal"/>
      <w:isLgl/>
      <w:lvlText w:val="%1.%2.%3.%4.%5.%6.%7.%8.%9"/>
      <w:lvlJc w:val="left"/>
      <w:pPr>
        <w:tabs>
          <w:tab w:val="left" w:pos="2640"/>
        </w:tabs>
        <w:ind w:left="2640" w:hanging="2160"/>
      </w:pPr>
      <w:rPr>
        <w:rFonts w:hint="eastAsia"/>
      </w:rPr>
    </w:lvl>
  </w:abstractNum>
  <w:abstractNum w:abstractNumId="5">
    <w:nsid w:val="654968AC"/>
    <w:multiLevelType w:val="multilevel"/>
    <w:tmpl w:val="654968AC"/>
    <w:lvl w:ilvl="0" w:tentative="0">
      <w:start w:val="1"/>
      <w:numFmt w:val="chineseCountingThousand"/>
      <w:lvlText w:val="%1、"/>
      <w:lvlJc w:val="left"/>
      <w:pPr>
        <w:tabs>
          <w:tab w:val="left" w:pos="846"/>
        </w:tabs>
        <w:ind w:left="846" w:hanging="420"/>
      </w:pPr>
    </w:lvl>
    <w:lvl w:ilvl="1" w:tentative="0">
      <w:start w:val="1"/>
      <w:numFmt w:val="decimal"/>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55EF"/>
    <w:rsid w:val="00056772"/>
    <w:rsid w:val="00231360"/>
    <w:rsid w:val="002870EB"/>
    <w:rsid w:val="002E2238"/>
    <w:rsid w:val="0035648E"/>
    <w:rsid w:val="003C5A41"/>
    <w:rsid w:val="003C7399"/>
    <w:rsid w:val="004235E6"/>
    <w:rsid w:val="00446BEE"/>
    <w:rsid w:val="004538D5"/>
    <w:rsid w:val="00497715"/>
    <w:rsid w:val="0052181B"/>
    <w:rsid w:val="005C2456"/>
    <w:rsid w:val="006C1DFB"/>
    <w:rsid w:val="00742563"/>
    <w:rsid w:val="007F7596"/>
    <w:rsid w:val="008220C7"/>
    <w:rsid w:val="008572E6"/>
    <w:rsid w:val="008E5A71"/>
    <w:rsid w:val="009655EF"/>
    <w:rsid w:val="009D5515"/>
    <w:rsid w:val="00A64389"/>
    <w:rsid w:val="00BB21A0"/>
    <w:rsid w:val="00BF0749"/>
    <w:rsid w:val="00C22338"/>
    <w:rsid w:val="00C36A4F"/>
    <w:rsid w:val="00C54555"/>
    <w:rsid w:val="00C61D54"/>
    <w:rsid w:val="00CA109F"/>
    <w:rsid w:val="00D329F9"/>
    <w:rsid w:val="00DA71BB"/>
    <w:rsid w:val="00E46148"/>
    <w:rsid w:val="00E7471A"/>
    <w:rsid w:val="00FB0E89"/>
    <w:rsid w:val="3E605E45"/>
    <w:rsid w:val="4C084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18"/>
    <w:qFormat/>
    <w:uiPriority w:val="0"/>
    <w:pPr>
      <w:spacing w:before="340" w:after="330" w:line="578" w:lineRule="auto"/>
      <w:outlineLvl w:val="0"/>
    </w:pPr>
    <w:rPr>
      <w:kern w:val="44"/>
      <w:sz w:val="44"/>
      <w:szCs w:val="44"/>
    </w:rPr>
  </w:style>
  <w:style w:type="paragraph" w:styleId="4">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9"/>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5"/>
    <w:uiPriority w:val="0"/>
    <w:rPr>
      <w:rFonts w:ascii="宋体" w:hAnsi="Courier New" w:cs="Courier New"/>
      <w:szCs w:val="21"/>
    </w:rPr>
  </w:style>
  <w:style w:type="paragraph" w:styleId="6">
    <w:name w:val="Date"/>
    <w:basedOn w:val="1"/>
    <w:next w:val="1"/>
    <w:link w:val="17"/>
    <w:semiHidden/>
    <w:unhideWhenUsed/>
    <w:uiPriority w:val="99"/>
    <w:pPr>
      <w:ind w:left="100" w:leftChars="2500"/>
    </w:pPr>
  </w:style>
  <w:style w:type="paragraph" w:styleId="7">
    <w:name w:val="Balloon Text"/>
    <w:basedOn w:val="1"/>
    <w:link w:val="16"/>
    <w:semiHidden/>
    <w:unhideWhenUsed/>
    <w:uiPriority w:val="99"/>
    <w:rPr>
      <w:sz w:val="18"/>
      <w:szCs w:val="18"/>
    </w:rPr>
  </w:style>
  <w:style w:type="paragraph" w:styleId="8">
    <w:name w:val="footer"/>
    <w:basedOn w:val="1"/>
    <w:link w:val="25"/>
    <w:semiHidden/>
    <w:unhideWhenUsed/>
    <w:uiPriority w:val="99"/>
    <w:pPr>
      <w:tabs>
        <w:tab w:val="center" w:pos="4153"/>
        <w:tab w:val="right" w:pos="8306"/>
      </w:tabs>
      <w:snapToGrid w:val="0"/>
      <w:jc w:val="left"/>
    </w:pPr>
    <w:rPr>
      <w:sz w:val="18"/>
      <w:szCs w:val="18"/>
    </w:rPr>
  </w:style>
  <w:style w:type="paragraph" w:styleId="9">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link w:val="21"/>
    <w:qFormat/>
    <w:uiPriority w:val="99"/>
    <w:pPr>
      <w:ind w:firstLine="420" w:firstLineChars="200"/>
    </w:pPr>
  </w:style>
  <w:style w:type="character" w:customStyle="1" w:styleId="14">
    <w:name w:val="纯文本 Char"/>
    <w:link w:val="5"/>
    <w:uiPriority w:val="0"/>
    <w:rPr>
      <w:rFonts w:ascii="宋体" w:hAnsi="Courier New" w:eastAsia="宋体" w:cs="Courier New"/>
      <w:szCs w:val="21"/>
    </w:rPr>
  </w:style>
  <w:style w:type="character" w:customStyle="1" w:styleId="15">
    <w:name w:val="纯文本 Char1"/>
    <w:basedOn w:val="12"/>
    <w:link w:val="5"/>
    <w:semiHidden/>
    <w:uiPriority w:val="99"/>
    <w:rPr>
      <w:rFonts w:ascii="宋体" w:hAnsi="Courier New" w:eastAsia="宋体" w:cs="Courier New"/>
      <w:szCs w:val="21"/>
    </w:rPr>
  </w:style>
  <w:style w:type="character" w:customStyle="1" w:styleId="16">
    <w:name w:val="批注框文本 Char"/>
    <w:basedOn w:val="12"/>
    <w:link w:val="7"/>
    <w:semiHidden/>
    <w:uiPriority w:val="99"/>
    <w:rPr>
      <w:rFonts w:ascii="Times New Roman" w:hAnsi="Times New Roman" w:eastAsia="宋体" w:cs="Times New Roman"/>
      <w:sz w:val="18"/>
      <w:szCs w:val="18"/>
    </w:rPr>
  </w:style>
  <w:style w:type="character" w:customStyle="1" w:styleId="17">
    <w:name w:val="日期 Char"/>
    <w:basedOn w:val="12"/>
    <w:link w:val="6"/>
    <w:semiHidden/>
    <w:uiPriority w:val="99"/>
    <w:rPr>
      <w:rFonts w:ascii="Times New Roman" w:hAnsi="Times New Roman" w:eastAsia="宋体" w:cs="Times New Roman"/>
      <w:szCs w:val="24"/>
    </w:rPr>
  </w:style>
  <w:style w:type="character" w:customStyle="1" w:styleId="18">
    <w:name w:val="标题 1 Char"/>
    <w:basedOn w:val="12"/>
    <w:link w:val="2"/>
    <w:uiPriority w:val="0"/>
    <w:rPr>
      <w:rFonts w:ascii="Times New Roman" w:hAnsi="Times New Roman" w:eastAsia="宋体" w:cs="Times New Roman"/>
      <w:b/>
      <w:bCs/>
      <w:kern w:val="44"/>
      <w:sz w:val="44"/>
      <w:szCs w:val="44"/>
    </w:rPr>
  </w:style>
  <w:style w:type="character" w:customStyle="1" w:styleId="19">
    <w:name w:val="标题 3 Char"/>
    <w:basedOn w:val="12"/>
    <w:link w:val="3"/>
    <w:semiHidden/>
    <w:uiPriority w:val="9"/>
    <w:rPr>
      <w:rFonts w:ascii="Times New Roman" w:hAnsi="Times New Roman" w:eastAsia="宋体" w:cs="Times New Roman"/>
      <w:b/>
      <w:bCs/>
      <w:sz w:val="32"/>
      <w:szCs w:val="32"/>
    </w:rPr>
  </w:style>
  <w:style w:type="character" w:customStyle="1" w:styleId="20">
    <w:name w:val="标题 2 Char"/>
    <w:basedOn w:val="12"/>
    <w:link w:val="4"/>
    <w:semiHidden/>
    <w:uiPriority w:val="9"/>
    <w:rPr>
      <w:rFonts w:asciiTheme="majorHAnsi" w:hAnsiTheme="majorHAnsi" w:eastAsiaTheme="majorEastAsia" w:cstheme="majorBidi"/>
      <w:b/>
      <w:bCs/>
      <w:sz w:val="32"/>
      <w:szCs w:val="32"/>
    </w:rPr>
  </w:style>
  <w:style w:type="character" w:customStyle="1" w:styleId="21">
    <w:name w:val="列出段落 Char"/>
    <w:link w:val="13"/>
    <w:qFormat/>
    <w:locked/>
    <w:uiPriority w:val="99"/>
    <w:rPr>
      <w:rFonts w:ascii="Times New Roman" w:hAnsi="Times New Roman" w:eastAsia="宋体" w:cs="Times New Roman"/>
      <w:szCs w:val="24"/>
    </w:rPr>
  </w:style>
  <w:style w:type="character" w:customStyle="1" w:styleId="22">
    <w:name w:val="正文缩进 Char1"/>
    <w:link w:val="23"/>
    <w:qFormat/>
    <w:uiPriority w:val="0"/>
    <w:rPr>
      <w:rFonts w:ascii="Tahoma" w:hAnsi="Tahoma" w:eastAsia="宋体" w:cs="Times New Roman"/>
      <w:sz w:val="24"/>
      <w:szCs w:val="24"/>
    </w:rPr>
  </w:style>
  <w:style w:type="paragraph" w:customStyle="1" w:styleId="23">
    <w:name w:val="正文缩进1"/>
    <w:basedOn w:val="1"/>
    <w:link w:val="22"/>
    <w:qFormat/>
    <w:uiPriority w:val="0"/>
    <w:pPr>
      <w:autoSpaceDE w:val="0"/>
      <w:autoSpaceDN w:val="0"/>
      <w:spacing w:line="360" w:lineRule="auto"/>
      <w:ind w:left="181" w:firstLine="420"/>
    </w:pPr>
    <w:rPr>
      <w:rFonts w:ascii="Tahoma" w:hAnsi="Tahoma"/>
      <w:sz w:val="24"/>
    </w:rPr>
  </w:style>
  <w:style w:type="character" w:customStyle="1" w:styleId="24">
    <w:name w:val="页眉 Char"/>
    <w:basedOn w:val="12"/>
    <w:link w:val="9"/>
    <w:semiHidden/>
    <w:uiPriority w:val="99"/>
    <w:rPr>
      <w:rFonts w:ascii="Times New Roman" w:hAnsi="Times New Roman" w:eastAsia="宋体" w:cs="Times New Roman"/>
      <w:sz w:val="18"/>
      <w:szCs w:val="18"/>
    </w:rPr>
  </w:style>
  <w:style w:type="character" w:customStyle="1" w:styleId="25">
    <w:name w:val="页脚 Char"/>
    <w:basedOn w:val="12"/>
    <w:link w:val="8"/>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1353</Words>
  <Characters>7716</Characters>
  <Lines>64</Lines>
  <Paragraphs>18</Paragraphs>
  <TotalTime>10</TotalTime>
  <ScaleCrop>false</ScaleCrop>
  <LinksUpToDate>false</LinksUpToDate>
  <CharactersWithSpaces>9051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2020-11-06T00:44:00Z</dcterms:created>
  <dc:creator>PC</dc:creator>
  <cp:lastModifiedBy>庆甫兄</cp:lastModifiedBy>
  <cp:lastPrinted>2020-11-10T08:52:00Z</cp:lastPrinted>
  <dcterms:modified xsi:type="dcterms:W3CDTF">2020-11-12T07:27:06Z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